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rPr>
        <w:t>References</w:t>
      </w:r>
    </w:p>
    <w:p>
      <w:pPr>
        <w:spacing w:before="280" w:after="120"/>
        <w:jc w:val="left"/>
      </w:pPr>
      <w:r>
        <w:rPr>
          <w:rFonts w:ascii="Times New Roman" w:hAnsi="Times New Roman"/>
          <w:b/>
          <w:sz w:val="24"/>
        </w:rPr>
        <w:t>— Ch1 — Introduction</w:t>
      </w:r>
    </w:p>
    <w:p>
      <w:pPr>
        <w:spacing w:before="40" w:after="80" w:line="360" w:lineRule="exact"/>
        <w:ind w:left="680" w:hanging="680"/>
        <w:jc w:val="both"/>
      </w:pPr>
      <w:r>
        <w:rPr>
          <w:rFonts w:ascii="Times New Roman" w:hAnsi="Times New Roman"/>
          <w:sz w:val="22"/>
        </w:rPr>
        <w:t>[1]  United Nations (2015). Transforming Our World: The 2030 Agenda for Sustainable Development. Resolution A/RES/70/1, United Nations General Assembly. Available at: https://sdgs.un.org/2030agenda [Accessed 15 January 2025].</w:t>
      </w:r>
    </w:p>
    <w:p>
      <w:pPr>
        <w:spacing w:before="40" w:after="80" w:line="360" w:lineRule="exact"/>
        <w:ind w:left="680" w:hanging="680"/>
        <w:jc w:val="both"/>
      </w:pPr>
      <w:r>
        <w:rPr>
          <w:rFonts w:ascii="Times New Roman" w:hAnsi="Times New Roman"/>
          <w:sz w:val="22"/>
        </w:rPr>
        <w:t>[2]  Ministry of Agriculture and Farmers' Welfare, Government of India (2019). Agriculture Census 2015-16. Department of Agriculture, Cooperation and Farmers' Welfare, New Delhi. Available at: https://agcensus.nic.in [Accessed 10 January 2025].</w:t>
      </w:r>
    </w:p>
    <w:p>
      <w:pPr>
        <w:spacing w:before="40" w:after="80" w:line="360" w:lineRule="exact"/>
        <w:ind w:left="680" w:hanging="680"/>
        <w:jc w:val="both"/>
      </w:pPr>
      <w:r>
        <w:rPr>
          <w:rFonts w:ascii="Times New Roman" w:hAnsi="Times New Roman"/>
          <w:sz w:val="22"/>
        </w:rPr>
        <w:t>[3]  National Sample Survey Office (NSSO) (2019). Key Indicators of Situation of Agricultural Households and Land and Livestock Holdings of Households in Rural India, 2019. Ministry of Statistics and Programme Implementation, New Delhi.</w:t>
      </w:r>
    </w:p>
    <w:p>
      <w:pPr>
        <w:spacing w:before="40" w:after="80" w:line="360" w:lineRule="exact"/>
        <w:ind w:left="680" w:hanging="680"/>
        <w:jc w:val="both"/>
      </w:pPr>
      <w:r>
        <w:rPr>
          <w:rFonts w:ascii="Times New Roman" w:hAnsi="Times New Roman"/>
          <w:sz w:val="22"/>
        </w:rPr>
        <w:t>[4]  Food and Agriculture Organization (FAO) (2021). Digital Agriculture: Opportunities for Improving Farming Systems. FAO, Rome. Available at: https://www.fao.org/digital-agriculture [Accessed 12 January 2025].</w:t>
      </w:r>
    </w:p>
    <w:p>
      <w:pPr>
        <w:spacing w:before="40" w:after="80" w:line="360" w:lineRule="exact"/>
        <w:ind w:left="680" w:hanging="680"/>
        <w:jc w:val="both"/>
      </w:pPr>
      <w:r>
        <w:rPr>
          <w:rFonts w:ascii="Times New Roman" w:hAnsi="Times New Roman"/>
          <w:sz w:val="22"/>
        </w:rPr>
        <w:t>[5]  Hughes, D.P. and Salathe, M. (2015). An open access repository of images on plant health to enable the development of mobile disease diagnostics. arXiv preprint arXiv:1511.08060. Available at: https://arxiv.org/abs/1511.08060 [Accessed 14 January 2025].</w:t>
      </w:r>
    </w:p>
    <w:p>
      <w:pPr>
        <w:spacing w:before="40" w:after="80" w:line="360" w:lineRule="exact"/>
        <w:ind w:left="680" w:hanging="680"/>
        <w:jc w:val="both"/>
      </w:pPr>
      <w:r>
        <w:rPr>
          <w:rFonts w:ascii="Times New Roman" w:hAnsi="Times New Roman"/>
          <w:sz w:val="22"/>
        </w:rPr>
        <w:t>[6]  Rajak, R.K., Pawar, A., Pendke, M., Shinde, P., Rathod, S. and Devare, A. (2017). Crop recommendation system to maximize crop yield using machine learning technique. International Research Journal of Engineering and Technology (IRJET), 4(12), pp.950–953.</w:t>
      </w:r>
    </w:p>
    <w:p>
      <w:pPr>
        <w:spacing w:before="40" w:after="80" w:line="360" w:lineRule="exact"/>
        <w:ind w:left="680" w:hanging="680"/>
        <w:jc w:val="both"/>
      </w:pPr>
      <w:r>
        <w:rPr>
          <w:rFonts w:ascii="Times New Roman" w:hAnsi="Times New Roman"/>
          <w:sz w:val="22"/>
        </w:rPr>
        <w:t>[7]  Touvron, H., Lavril, T., Izacard, G., Martinet, X., Lachaux, M.A., Lacroix, T., Rozière, B., Goyal, N., Hambro, E., Azhar, F. and Rodriguez, A. (2023). LLaMA: Open and efficient foundation language models. arXiv preprint arXiv:2302.13971.</w:t>
      </w:r>
    </w:p>
    <w:p>
      <w:pPr>
        <w:spacing w:before="40" w:after="80" w:line="360" w:lineRule="exact"/>
        <w:ind w:left="680" w:hanging="680"/>
        <w:jc w:val="both"/>
      </w:pPr>
      <w:r>
        <w:rPr>
          <w:rFonts w:ascii="Times New Roman" w:hAnsi="Times New Roman"/>
          <w:sz w:val="22"/>
        </w:rPr>
        <w:t>[8]  World Bank (2020). India Agricultural Production and Food Security. World Bank Group, Washington D.C. Available at: https://www.worldbank.org/en/country/india [Accessed 8 January 2025].</w:t>
      </w:r>
    </w:p>
    <w:p>
      <w:pPr>
        <w:spacing w:before="40" w:after="80" w:line="360" w:lineRule="exact"/>
        <w:ind w:left="680" w:hanging="680"/>
        <w:jc w:val="both"/>
      </w:pPr>
      <w:r>
        <w:rPr>
          <w:rFonts w:ascii="Times New Roman" w:hAnsi="Times New Roman"/>
          <w:sz w:val="22"/>
        </w:rPr>
        <w:t>[9]  Indian Council of Agricultural Research (ICAR) (2023). Annual Report 2022-23. ICAR, New Delhi. Available at: https://icar.org.in/content/annual-report [Accessed 9 January 2025].</w:t>
      </w:r>
    </w:p>
    <w:p>
      <w:pPr>
        <w:spacing w:before="40" w:after="80" w:line="360" w:lineRule="exact"/>
        <w:ind w:left="680" w:hanging="680"/>
        <w:jc w:val="both"/>
      </w:pPr>
      <w:r>
        <w:rPr>
          <w:rFonts w:ascii="Times New Roman" w:hAnsi="Times New Roman"/>
          <w:sz w:val="22"/>
        </w:rPr>
        <w:t>[10]  Ministry of Agriculture and Farmers' Welfare (2022). Soil Health Card Scheme — Implementation Report. Government of India, New Delhi. Available at: https://soilhealth.dac.gov.in [Accessed 11 January 2025].</w:t>
      </w:r>
    </w:p>
    <w:p>
      <w:pPr>
        <w:spacing w:before="40" w:after="80" w:line="360" w:lineRule="exact"/>
        <w:ind w:left="680" w:hanging="680"/>
        <w:jc w:val="both"/>
      </w:pPr>
      <w:r>
        <w:rPr>
          <w:rFonts w:ascii="Times New Roman" w:hAnsi="Times New Roman"/>
          <w:sz w:val="22"/>
        </w:rPr>
        <w:t>[11]  India Meteorological Department (IMD) (2022). State of the Climate in India 2022. Ministry of Earth Sciences, New Delhi. Available at: https://imdpune.gov.in/Reports [Accessed 11 January 2025].</w:t>
      </w:r>
    </w:p>
    <w:p>
      <w:pPr>
        <w:spacing w:before="40" w:after="80" w:line="360" w:lineRule="exact"/>
        <w:ind w:left="680" w:hanging="680"/>
        <w:jc w:val="both"/>
      </w:pPr>
      <w:r>
        <w:rPr>
          <w:rFonts w:ascii="Times New Roman" w:hAnsi="Times New Roman"/>
          <w:sz w:val="22"/>
        </w:rPr>
        <w:t>[12]  National Disaster Management Authority (NDMA) (2023). Annual Report 2022-23. Government of India, New Delhi. Available at: https://ndma.gov.in [Accessed 13 January 2025].</w:t>
      </w:r>
    </w:p>
    <w:p>
      <w:pPr>
        <w:spacing w:before="40" w:after="80" w:line="360" w:lineRule="exact"/>
        <w:ind w:left="680" w:hanging="680"/>
        <w:jc w:val="both"/>
      </w:pPr>
      <w:r>
        <w:rPr>
          <w:rFonts w:ascii="Times New Roman" w:hAnsi="Times New Roman"/>
          <w:sz w:val="22"/>
        </w:rPr>
        <w:t>[13]  NITI Aayog (2017). Doubling Farmers' Income: Rationale, Strategy, Prospects and Action Plan. Government of India, New Delhi.</w:t>
      </w:r>
    </w:p>
    <w:p>
      <w:pPr>
        <w:spacing w:before="40" w:after="80" w:line="360" w:lineRule="exact"/>
        <w:ind w:left="680" w:hanging="680"/>
        <w:jc w:val="both"/>
      </w:pPr>
      <w:r>
        <w:rPr>
          <w:rFonts w:ascii="Times New Roman" w:hAnsi="Times New Roman"/>
          <w:sz w:val="22"/>
        </w:rPr>
        <w:t>[14]  Aggarwal, P.K., Jarvis, A., Campbell, B.M., Zougmoré, R.B., Khatri-Chhetri, A., Vermeulen, S.J., Loboguerrero, A.M., Sebastian, L.S., Kinyangi, J., Bonilla-Findji, O. and Radeny, M. (2022). Bringing digital revolution to Indian smallholder farmers. Nature Food, 3, pp.14–24. https://doi.org/10.1038/s43016-021-00417-z.</w:t>
      </w:r>
    </w:p>
    <w:p>
      <w:pPr>
        <w:spacing w:before="40" w:after="80" w:line="360" w:lineRule="exact"/>
        <w:ind w:left="680" w:hanging="680"/>
        <w:jc w:val="both"/>
      </w:pPr>
      <w:r>
        <w:rPr>
          <w:rFonts w:ascii="Times New Roman" w:hAnsi="Times New Roman"/>
          <w:sz w:val="22"/>
        </w:rPr>
        <w:t>[15]  Telecom Regulatory Authority of India (TRAI) (2024). Telecom Subscription Data, December 2023. TRAI, New Delhi. Available at: https://trai.gov.in [Accessed 20 January 2025].</w:t>
      </w:r>
    </w:p>
    <w:p>
      <w:pPr>
        <w:spacing w:before="280" w:after="120"/>
        <w:jc w:val="left"/>
      </w:pPr>
      <w:r>
        <w:rPr>
          <w:rFonts w:ascii="Times New Roman" w:hAnsi="Times New Roman"/>
          <w:b/>
          <w:sz w:val="24"/>
        </w:rPr>
        <w:t>— Ch2 — Literature Review</w:t>
      </w:r>
    </w:p>
    <w:p>
      <w:pPr>
        <w:spacing w:before="40" w:after="80" w:line="360" w:lineRule="exact"/>
        <w:ind w:left="680" w:hanging="680"/>
        <w:jc w:val="both"/>
      </w:pPr>
      <w:r>
        <w:rPr>
          <w:rFonts w:ascii="Times New Roman" w:hAnsi="Times New Roman"/>
          <w:sz w:val="22"/>
        </w:rPr>
        <w:t>[16]  Mohanty, S.P., Hughes, D.P. and Salathe, M. (2016). Using deep learning for image-based plant disease detection. Frontiers in Plant Science, 7, p.1419. https://doi.org/10.3389/fpls.2016.01419.</w:t>
      </w:r>
    </w:p>
    <w:p>
      <w:pPr>
        <w:spacing w:before="40" w:after="80" w:line="360" w:lineRule="exact"/>
        <w:ind w:left="680" w:hanging="680"/>
        <w:jc w:val="both"/>
      </w:pPr>
      <w:r>
        <w:rPr>
          <w:rFonts w:ascii="Times New Roman" w:hAnsi="Times New Roman"/>
          <w:sz w:val="22"/>
        </w:rPr>
        <w:t>[17]  Ferentinos, K.P. (2018). Deep learning models for plant disease detection and diagnosis. Computers and Electronics in Agriculture, 145, pp.311–318. https://doi.org/10.1016/j.compag.2018.01.009.</w:t>
      </w:r>
    </w:p>
    <w:p>
      <w:pPr>
        <w:spacing w:before="40" w:after="80" w:line="360" w:lineRule="exact"/>
        <w:ind w:left="680" w:hanging="680"/>
        <w:jc w:val="both"/>
      </w:pPr>
      <w:r>
        <w:rPr>
          <w:rFonts w:ascii="Times New Roman" w:hAnsi="Times New Roman"/>
          <w:sz w:val="22"/>
        </w:rPr>
        <w:t>[18]  Selvaraju, R.R., Cogswell, M., Das, A., Vedantam, R., Parikh, D. and Batra, D. (2017). Grad-CAM: Visual explanations from deep networks via gradient-based localization. Proceedings of the IEEE International Conference on Computer Vision (ICCV), Venice, Italy, October 2017, pp.618–626. https://doi.org/10.1109/ICCV.2017.74.</w:t>
      </w:r>
    </w:p>
    <w:p>
      <w:pPr>
        <w:spacing w:before="40" w:after="80" w:line="360" w:lineRule="exact"/>
        <w:ind w:left="680" w:hanging="680"/>
        <w:jc w:val="both"/>
      </w:pPr>
      <w:r>
        <w:rPr>
          <w:rFonts w:ascii="Times New Roman" w:hAnsi="Times New Roman"/>
          <w:sz w:val="22"/>
        </w:rPr>
        <w:t>[19]  Pudumalar, S., Ramanujam, E., Rajashree, R.H., Kavya, C., Kiruthika, T. and Nisha, J. (2017). Crop recommendation system for precision agriculture. Proceedings of the 8th IEEE International Conference on Computing, Communication and Networking Technologies (ICCCNT), Delhi, India, July 2017. https://doi.org/10.1109/ICCCNT.2017.8203948.</w:t>
      </w:r>
    </w:p>
    <w:p>
      <w:pPr>
        <w:spacing w:before="40" w:after="80" w:line="360" w:lineRule="exact"/>
        <w:ind w:left="680" w:hanging="680"/>
        <w:jc w:val="both"/>
      </w:pPr>
      <w:r>
        <w:rPr>
          <w:rFonts w:ascii="Times New Roman" w:hAnsi="Times New Roman"/>
          <w:sz w:val="22"/>
        </w:rPr>
        <w:t>[20]  Kamilaris, A. and Prenafeta-Boldú, F.X. (2018). Deep learning in agriculture: A survey. Computers and Electronics in Agriculture, 147, pp.70–90. https://doi.org/10.1016/j.compag.2018.02.016.</w:t>
      </w:r>
    </w:p>
    <w:p>
      <w:pPr>
        <w:spacing w:before="40" w:after="80" w:line="360" w:lineRule="exact"/>
        <w:ind w:left="680" w:hanging="680"/>
        <w:jc w:val="both"/>
      </w:pPr>
      <w:r>
        <w:rPr>
          <w:rFonts w:ascii="Times New Roman" w:hAnsi="Times New Roman"/>
          <w:sz w:val="22"/>
        </w:rPr>
        <w:t>[21]  Bendre, M.R., Thool, R.C. and Thool, V.R. (2015). Big data in precision agriculture: weather forecasting for future farming. Proceedings of the 1st International Conference on Next Generation Computing Technologies (NGCT), Dehradun, India, September 2015, pp.744–750. https://doi.org/10.1109/NGCT.2015.7375220.</w:t>
      </w:r>
    </w:p>
    <w:p>
      <w:pPr>
        <w:spacing w:before="40" w:after="80" w:line="360" w:lineRule="exact"/>
        <w:ind w:left="680" w:hanging="680"/>
        <w:jc w:val="both"/>
      </w:pPr>
      <w:r>
        <w:rPr>
          <w:rFonts w:ascii="Times New Roman" w:hAnsi="Times New Roman"/>
          <w:sz w:val="22"/>
        </w:rPr>
        <w:t>[22]  Ayaz, M., Ammad-Uddin, M., Sharif, Z., Mansour, A. and Aggoune, E.H.M. (2019). Internet-of-Things (IoT)-based smart agriculture: Toward making the fields talk. IEEE Access, 7, pp.129551–129583. https://doi.org/10.1109/ACCESS.2019.2932609.</w:t>
      </w:r>
    </w:p>
    <w:p>
      <w:pPr>
        <w:spacing w:before="40" w:after="80" w:line="360" w:lineRule="exact"/>
        <w:ind w:left="680" w:hanging="680"/>
        <w:jc w:val="both"/>
      </w:pPr>
      <w:r>
        <w:rPr>
          <w:rFonts w:ascii="Times New Roman" w:hAnsi="Times New Roman"/>
          <w:sz w:val="22"/>
        </w:rPr>
        <w:t>[23]  Misra, N.N., Dixit, Y., Al-Mallahi, A., Bhullar, M.S., Upadhyay, R. and Martynenko, A. (2022). IoT, big data, and artificial intelligence in agriculture and food industry. IEEE Internet of Things Journal, 9(9), pp.6305–6324. https://doi.org/10.1109/JIOT.2020.2998584.</w:t>
      </w:r>
    </w:p>
    <w:p>
      <w:pPr>
        <w:spacing w:before="40" w:after="80" w:line="360" w:lineRule="exact"/>
        <w:ind w:left="680" w:hanging="680"/>
        <w:jc w:val="both"/>
      </w:pPr>
      <w:r>
        <w:rPr>
          <w:rFonts w:ascii="Times New Roman" w:hAnsi="Times New Roman"/>
          <w:sz w:val="22"/>
        </w:rPr>
        <w:t>[24]  Ramcharan, A., Baranowski, K., McCloskey, P., Ahmed, B., Legg, J. and Hughes, D.P. (2017). Deep learning for image-based cassava disease detection. Frontiers in Plant Science, 8, p.1852. https://doi.org/10.3389/fpls.2017.01852.</w:t>
      </w:r>
    </w:p>
    <w:p>
      <w:pPr>
        <w:spacing w:before="40" w:after="80" w:line="360" w:lineRule="exact"/>
        <w:ind w:left="680" w:hanging="680"/>
        <w:jc w:val="both"/>
      </w:pPr>
      <w:r>
        <w:rPr>
          <w:rFonts w:ascii="Times New Roman" w:hAnsi="Times New Roman"/>
          <w:sz w:val="22"/>
        </w:rPr>
        <w:t>[25]  Brahimi, M., Boukhalfa, K. and Moussaoui, A. (2017). Deep learning for tomato diseases: Classification and symptoms visualization. Applied Computational Intelligence and Soft Computing, 2017, Article ID 9042589. https://doi.org/10.1155/2017/9042589.</w:t>
      </w:r>
    </w:p>
    <w:p>
      <w:pPr>
        <w:spacing w:before="280" w:after="120"/>
        <w:jc w:val="left"/>
      </w:pPr>
      <w:r>
        <w:rPr>
          <w:rFonts w:ascii="Times New Roman" w:hAnsi="Times New Roman"/>
          <w:b/>
          <w:sz w:val="24"/>
        </w:rPr>
        <w:t>— Ch3 — Methodology</w:t>
      </w:r>
    </w:p>
    <w:p>
      <w:pPr>
        <w:spacing w:before="40" w:after="80" w:line="360" w:lineRule="exact"/>
        <w:ind w:left="680" w:hanging="680"/>
        <w:jc w:val="both"/>
      </w:pPr>
      <w:r>
        <w:rPr>
          <w:rFonts w:ascii="Times New Roman" w:hAnsi="Times New Roman"/>
          <w:sz w:val="22"/>
        </w:rPr>
        <w:t>[26]  Beck, K., Beedle, M., van Bennekum, A., Cockburn, A., Cunningham, W., Fowler, M., Grenning, J., Highsmith, J., Hunt, A., Jeffries, R. and Kern, J. (2001). Manifesto for Agile Software Development. Agile Alliance. Available at: https://agilemanifesto.org [Accessed 22 January 2025].</w:t>
      </w:r>
    </w:p>
    <w:p>
      <w:pPr>
        <w:spacing w:before="40" w:after="80" w:line="360" w:lineRule="exact"/>
        <w:ind w:left="680" w:hanging="680"/>
        <w:jc w:val="both"/>
      </w:pPr>
      <w:r>
        <w:rPr>
          <w:rFonts w:ascii="Times New Roman" w:hAnsi="Times New Roman"/>
          <w:sz w:val="22"/>
        </w:rPr>
        <w:t>[27]  Schwaber, K. and Sutherland, J. (2020). The Scrum Guide: The Definitive Guide to Scrum — The Rules of the Game. Scrum.org. Available at: https://scrumguides.org [Accessed 22 January 2025].</w:t>
      </w:r>
    </w:p>
    <w:p>
      <w:pPr>
        <w:spacing w:before="40" w:after="80" w:line="360" w:lineRule="exact"/>
        <w:ind w:left="680" w:hanging="680"/>
        <w:jc w:val="both"/>
      </w:pPr>
      <w:r>
        <w:rPr>
          <w:rFonts w:ascii="Times New Roman" w:hAnsi="Times New Roman"/>
          <w:sz w:val="22"/>
        </w:rPr>
        <w:t>[28]  Rubin, K.S. (2012). Essential Scrum: A Practical Guide to the Most Popular Agile Process. Upper Saddle River, NJ: Addison-Wesley Professional.</w:t>
      </w:r>
    </w:p>
    <w:p>
      <w:pPr>
        <w:spacing w:before="40" w:after="80" w:line="360" w:lineRule="exact"/>
        <w:ind w:left="680" w:hanging="680"/>
        <w:jc w:val="both"/>
      </w:pPr>
      <w:r>
        <w:rPr>
          <w:rFonts w:ascii="Times New Roman" w:hAnsi="Times New Roman"/>
          <w:sz w:val="22"/>
        </w:rPr>
        <w:t>[29]  Cohn, M. (2004). User Stories Applied: For Agile Software Development. Boston, MA: Addison-Wesley Professional.</w:t>
      </w:r>
    </w:p>
    <w:p>
      <w:pPr>
        <w:spacing w:before="40" w:after="80" w:line="360" w:lineRule="exact"/>
        <w:ind w:left="680" w:hanging="680"/>
        <w:jc w:val="both"/>
      </w:pPr>
      <w:r>
        <w:rPr>
          <w:rFonts w:ascii="Times New Roman" w:hAnsi="Times New Roman"/>
          <w:sz w:val="22"/>
        </w:rPr>
        <w:t>[30]  Forsberg, K. and Mooz, H. (1991). The relationship of system engineering to the project cycle. Proceedings of the First Annual Symposium of the National Council on Systems Engineering, Chattanooga, TN, October 1991, pp.57–65.</w:t>
      </w:r>
    </w:p>
    <w:p>
      <w:pPr>
        <w:spacing w:before="40" w:after="80" w:line="360" w:lineRule="exact"/>
        <w:ind w:left="680" w:hanging="680"/>
        <w:jc w:val="both"/>
      </w:pPr>
      <w:r>
        <w:rPr>
          <w:rFonts w:ascii="Times New Roman" w:hAnsi="Times New Roman"/>
          <w:sz w:val="22"/>
        </w:rPr>
        <w:t>[31]  Pressman, R.S. and Maxim, B.R. (2020). Software Engineering: A Practitioner's Approach. 9th edn. New York: McGraw-Hill Education.</w:t>
      </w:r>
    </w:p>
    <w:p>
      <w:pPr>
        <w:spacing w:before="40" w:after="80" w:line="360" w:lineRule="exact"/>
        <w:ind w:left="680" w:hanging="680"/>
        <w:jc w:val="both"/>
      </w:pPr>
      <w:r>
        <w:rPr>
          <w:rFonts w:ascii="Times New Roman" w:hAnsi="Times New Roman"/>
          <w:sz w:val="22"/>
        </w:rPr>
        <w:t>[32]  Google LLC (2024). Flutter Documentation — Get Started. Available at: https://flutter.dev/docs [Accessed 25 January 2025].</w:t>
      </w:r>
    </w:p>
    <w:p>
      <w:pPr>
        <w:spacing w:before="280" w:after="120"/>
        <w:jc w:val="left"/>
      </w:pPr>
      <w:r>
        <w:rPr>
          <w:rFonts w:ascii="Times New Roman" w:hAnsi="Times New Roman"/>
          <w:b/>
          <w:sz w:val="24"/>
        </w:rPr>
        <w:t>— Ch4 — Project Management</w:t>
      </w:r>
    </w:p>
    <w:p>
      <w:pPr>
        <w:spacing w:before="40" w:after="80" w:line="360" w:lineRule="exact"/>
        <w:ind w:left="680" w:hanging="680"/>
        <w:jc w:val="both"/>
      </w:pPr>
      <w:r>
        <w:rPr>
          <w:rFonts w:ascii="Times New Roman" w:hAnsi="Times New Roman"/>
          <w:sz w:val="22"/>
        </w:rPr>
        <w:t>[33]  Project Management Institute (2021). A Guide to the Project Management Body of Knowledge (PMBOK Guide). 7th edn. Newtown Square, PA: Project Management Institute.</w:t>
      </w:r>
    </w:p>
    <w:p>
      <w:pPr>
        <w:spacing w:before="40" w:after="80" w:line="360" w:lineRule="exact"/>
        <w:ind w:left="680" w:hanging="680"/>
        <w:jc w:val="both"/>
      </w:pPr>
      <w:r>
        <w:rPr>
          <w:rFonts w:ascii="Times New Roman" w:hAnsi="Times New Roman"/>
          <w:sz w:val="22"/>
        </w:rPr>
        <w:t>[34]  Yüksel, I. (2012). Developing a multi-criteria decision making model for PESTEL analysis. International Journal of Business and Management, 7(24), pp.52–66. https://doi.org/10.5539/ijbm.v7n24p52.</w:t>
      </w:r>
    </w:p>
    <w:p>
      <w:pPr>
        <w:spacing w:before="40" w:after="80" w:line="360" w:lineRule="exact"/>
        <w:ind w:left="680" w:hanging="680"/>
        <w:jc w:val="both"/>
      </w:pPr>
      <w:r>
        <w:rPr>
          <w:rFonts w:ascii="Times New Roman" w:hAnsi="Times New Roman"/>
          <w:sz w:val="22"/>
        </w:rPr>
        <w:t>[35]  Ngo, T. (2020). Agile project management for dummies. 2nd edn. Hoboken, NJ: Wiley Publishing.</w:t>
      </w:r>
    </w:p>
    <w:p>
      <w:pPr>
        <w:spacing w:before="280" w:after="120"/>
        <w:jc w:val="left"/>
      </w:pPr>
      <w:r>
        <w:rPr>
          <w:rFonts w:ascii="Times New Roman" w:hAnsi="Times New Roman"/>
          <w:b/>
          <w:sz w:val="24"/>
        </w:rPr>
        <w:t>— Ch5 — Analysis and Design</w:t>
      </w:r>
    </w:p>
    <w:p>
      <w:pPr>
        <w:spacing w:before="40" w:after="80" w:line="360" w:lineRule="exact"/>
        <w:ind w:left="680" w:hanging="680"/>
        <w:jc w:val="both"/>
      </w:pPr>
      <w:r>
        <w:rPr>
          <w:rFonts w:ascii="Times New Roman" w:hAnsi="Times New Roman"/>
          <w:sz w:val="22"/>
        </w:rPr>
        <w:t>[36]  Pressman, R.S. and Maxim, B.R. (2020). Software Engineering: A Practitioner's Approach. 9th edn. New York: McGraw-Hill Education. [Also cited in Ch3]</w:t>
      </w:r>
    </w:p>
    <w:p>
      <w:pPr>
        <w:spacing w:before="40" w:after="80" w:line="360" w:lineRule="exact"/>
        <w:ind w:left="680" w:hanging="680"/>
        <w:jc w:val="both"/>
      </w:pPr>
      <w:r>
        <w:rPr>
          <w:rFonts w:ascii="Times New Roman" w:hAnsi="Times New Roman"/>
          <w:sz w:val="22"/>
        </w:rPr>
        <w:t>[37]  Fowler, M. (2002). Patterns of Enterprise Application Architecture. Boston, MA: Addison-Wesley Professional.</w:t>
      </w:r>
    </w:p>
    <w:p>
      <w:pPr>
        <w:spacing w:before="40" w:after="80" w:line="360" w:lineRule="exact"/>
        <w:ind w:left="680" w:hanging="680"/>
        <w:jc w:val="both"/>
      </w:pPr>
      <w:r>
        <w:rPr>
          <w:rFonts w:ascii="Times New Roman" w:hAnsi="Times New Roman"/>
          <w:sz w:val="22"/>
        </w:rPr>
        <w:t>[38]  Jacobson, I., Booch, G. and Rumbaugh, J. (1999). The Unified Software Development Process. Reading, MA: Addison-Wesley.</w:t>
      </w:r>
    </w:p>
    <w:p>
      <w:pPr>
        <w:spacing w:before="40" w:after="80" w:line="360" w:lineRule="exact"/>
        <w:ind w:left="680" w:hanging="680"/>
        <w:jc w:val="both"/>
      </w:pPr>
      <w:r>
        <w:rPr>
          <w:rFonts w:ascii="Times New Roman" w:hAnsi="Times New Roman"/>
          <w:sz w:val="22"/>
        </w:rPr>
        <w:t>[39]  Yourdon, E. (1989). Modern Structured Analysis. Englewood Cliffs, NJ: Prentice Hall.</w:t>
      </w:r>
    </w:p>
    <w:p>
      <w:pPr>
        <w:spacing w:before="40" w:after="80" w:line="360" w:lineRule="exact"/>
        <w:ind w:left="680" w:hanging="680"/>
        <w:jc w:val="both"/>
      </w:pPr>
      <w:r>
        <w:rPr>
          <w:rFonts w:ascii="Times New Roman" w:hAnsi="Times New Roman"/>
          <w:sz w:val="22"/>
        </w:rPr>
        <w:t>[40]  Fielding, R.T. (2000). Architectural Styles and the Design of Network-based Software Architectures. Doctoral Dissertation, University of California, Irvine. Available at: https://www.ics.uci.edu/~fielding/pubs/dissertation/top.htm [Accessed 28 January 2025].</w:t>
      </w:r>
    </w:p>
    <w:p>
      <w:pPr>
        <w:spacing w:before="40" w:after="80" w:line="360" w:lineRule="exact"/>
        <w:ind w:left="680" w:hanging="680"/>
        <w:jc w:val="both"/>
      </w:pPr>
      <w:r>
        <w:rPr>
          <w:rFonts w:ascii="Times New Roman" w:hAnsi="Times New Roman"/>
          <w:sz w:val="22"/>
        </w:rPr>
        <w:t>[41]  Internet Engineering Task Force (IETF) (2022). RFC 7230: Hypertext Transfer Protocol (HTTP/1.1): Message Syntax and Routing. IETF. Available at: https://tools.ietf.org/html/rfc7230 [Accessed 29 January 2025].</w:t>
      </w:r>
    </w:p>
    <w:p>
      <w:pPr>
        <w:spacing w:before="40" w:after="80" w:line="360" w:lineRule="exact"/>
        <w:ind w:left="680" w:hanging="680"/>
        <w:jc w:val="both"/>
      </w:pPr>
      <w:r>
        <w:rPr>
          <w:rFonts w:ascii="Times New Roman" w:hAnsi="Times New Roman"/>
          <w:sz w:val="22"/>
        </w:rPr>
        <w:t>[42]  Google LLC (2023). Material Design 3 — Design System. Available at: https://m3.material.io [Accessed 30 January 2025].</w:t>
      </w:r>
    </w:p>
    <w:p>
      <w:pPr>
        <w:spacing w:before="40" w:after="80" w:line="360" w:lineRule="exact"/>
        <w:ind w:left="680" w:hanging="680"/>
        <w:jc w:val="both"/>
      </w:pPr>
      <w:r>
        <w:rPr>
          <w:rFonts w:ascii="Times New Roman" w:hAnsi="Times New Roman"/>
          <w:sz w:val="22"/>
        </w:rPr>
        <w:t>[43]  Ministry of Electronics and Information Technology (2023). The Digital Personal Data Protection Act, 2023. Government of India, New Delhi. Available at: https://meity.gov.in/content/digital-personal-data-protection-act-2023 [Accessed 1 February 2025].</w:t>
      </w:r>
    </w:p>
    <w:p>
      <w:pPr>
        <w:spacing w:before="280" w:after="120"/>
        <w:jc w:val="left"/>
      </w:pPr>
      <w:r>
        <w:rPr>
          <w:rFonts w:ascii="Times New Roman" w:hAnsi="Times New Roman"/>
          <w:b/>
          <w:sz w:val="24"/>
        </w:rPr>
        <w:t>— Ch6 — Hardware, Software and Simulation</w:t>
      </w:r>
    </w:p>
    <w:p>
      <w:pPr>
        <w:spacing w:before="40" w:after="80" w:line="360" w:lineRule="exact"/>
        <w:ind w:left="680" w:hanging="680"/>
        <w:jc w:val="both"/>
      </w:pPr>
      <w:r>
        <w:rPr>
          <w:rFonts w:ascii="Times New Roman" w:hAnsi="Times New Roman"/>
          <w:sz w:val="22"/>
        </w:rPr>
        <w:t>[44]  Lutz, M. (2013). Learning Python. 5th edn. Sebastopol, CA: O'Reilly Media.</w:t>
      </w:r>
    </w:p>
    <w:p>
      <w:pPr>
        <w:spacing w:before="40" w:after="80" w:line="360" w:lineRule="exact"/>
        <w:ind w:left="680" w:hanging="680"/>
        <w:jc w:val="both"/>
      </w:pPr>
      <w:r>
        <w:rPr>
          <w:rFonts w:ascii="Times New Roman" w:hAnsi="Times New Roman"/>
          <w:sz w:val="22"/>
        </w:rPr>
        <w:t>[45]  Grinberg, M. (2018). Flask Web Development: Developing Web Applications with Python. 2nd edn. Sebastopol, CA: O'Reilly Media.</w:t>
      </w:r>
    </w:p>
    <w:p>
      <w:pPr>
        <w:spacing w:before="40" w:after="80" w:line="360" w:lineRule="exact"/>
        <w:ind w:left="680" w:hanging="680"/>
        <w:jc w:val="both"/>
      </w:pPr>
      <w:r>
        <w:rPr>
          <w:rFonts w:ascii="Times New Roman" w:hAnsi="Times New Roman"/>
          <w:sz w:val="22"/>
        </w:rPr>
        <w:t>[46]  He, K., Zhang, X., Ren, S. and Sun, J. (2016). Deep residual learning for image recognition. Proceedings of the IEEE Conference on Computer Vision and Pattern Recognition (CVPR), Las Vegas, NV, June 2016, pp.770–778. https://doi.org/10.1109/CVPR.2016.90.</w:t>
      </w:r>
    </w:p>
    <w:p>
      <w:pPr>
        <w:spacing w:before="40" w:after="80" w:line="360" w:lineRule="exact"/>
        <w:ind w:left="680" w:hanging="680"/>
        <w:jc w:val="both"/>
      </w:pPr>
      <w:r>
        <w:rPr>
          <w:rFonts w:ascii="Times New Roman" w:hAnsi="Times New Roman"/>
          <w:sz w:val="22"/>
        </w:rPr>
        <w:t>[47]  Abadi, M., Barham, P., Chen, J., Chen, Z., Davis, A., Dean, J., Devin, M., Ghemawat, S., Irving, G., Isard, M. and Kudlur, M. (2016). TensorFlow: A system for large-scale machine learning. Proceedings of the 12th USENIX Symposium on Operating Systems Design and Implementation (OSDI '16), Savannah, GA, November 2016, pp.265–283.</w:t>
      </w:r>
    </w:p>
    <w:p>
      <w:pPr>
        <w:spacing w:before="40" w:after="80" w:line="360" w:lineRule="exact"/>
        <w:ind w:left="680" w:hanging="680"/>
        <w:jc w:val="both"/>
      </w:pPr>
      <w:r>
        <w:rPr>
          <w:rFonts w:ascii="Times New Roman" w:hAnsi="Times New Roman"/>
          <w:sz w:val="22"/>
        </w:rPr>
        <w:t>[48]  Bradski, G. (2000). The OpenCV library. Dr. Dobb's Journal of Software Tools, 25(11), pp.120–126.</w:t>
      </w:r>
    </w:p>
    <w:p>
      <w:pPr>
        <w:spacing w:before="40" w:after="80" w:line="360" w:lineRule="exact"/>
        <w:ind w:left="680" w:hanging="680"/>
        <w:jc w:val="both"/>
      </w:pPr>
      <w:r>
        <w:rPr>
          <w:rFonts w:ascii="Times New Roman" w:hAnsi="Times New Roman"/>
          <w:sz w:val="22"/>
        </w:rPr>
        <w:t>[49]  Google LLC (2024). Flutter HTTP Package Documentation. Available at: https://pub.dev/packages/http [Accessed 3 February 2025].</w:t>
      </w:r>
    </w:p>
    <w:p>
      <w:pPr>
        <w:spacing w:before="40" w:after="80" w:line="360" w:lineRule="exact"/>
        <w:ind w:left="680" w:hanging="680"/>
        <w:jc w:val="both"/>
      </w:pPr>
      <w:r>
        <w:rPr>
          <w:rFonts w:ascii="Times New Roman" w:hAnsi="Times New Roman"/>
          <w:sz w:val="22"/>
        </w:rPr>
        <w:t>[50]  SQLite Consortium (2024). SQLite Documentation. Available at: https://www.sqlite.org/docs.html [Accessed 3 February 2025].</w:t>
      </w:r>
    </w:p>
    <w:p>
      <w:pPr>
        <w:spacing w:before="280" w:after="120"/>
        <w:jc w:val="left"/>
      </w:pPr>
      <w:r>
        <w:rPr>
          <w:rFonts w:ascii="Times New Roman" w:hAnsi="Times New Roman"/>
          <w:b/>
          <w:sz w:val="24"/>
        </w:rPr>
        <w:t>— Ch7 — Evaluation and Results</w:t>
      </w:r>
    </w:p>
    <w:p>
      <w:pPr>
        <w:spacing w:before="40" w:after="80" w:line="360" w:lineRule="exact"/>
        <w:ind w:left="680" w:hanging="680"/>
        <w:jc w:val="both"/>
      </w:pPr>
      <w:r>
        <w:rPr>
          <w:rFonts w:ascii="Times New Roman" w:hAnsi="Times New Roman"/>
          <w:sz w:val="22"/>
        </w:rPr>
        <w:t>[51]  Chollet, F. (2021). Deep Learning with Python. 2nd edn. Shelter Island, NY: Manning Publications.</w:t>
      </w:r>
    </w:p>
    <w:p>
      <w:pPr>
        <w:spacing w:before="40" w:after="80" w:line="360" w:lineRule="exact"/>
        <w:ind w:left="680" w:hanging="680"/>
        <w:jc w:val="both"/>
      </w:pPr>
      <w:r>
        <w:rPr>
          <w:rFonts w:ascii="Times New Roman" w:hAnsi="Times New Roman"/>
          <w:sz w:val="22"/>
        </w:rPr>
        <w:t>[52]  Powers, D.M.W. (2011). Evaluation: From precision, recall and F-measure to ROC, informedness, markedness and correlation. Journal of Machine Learning Technologies, 2(1), pp.37–63.</w:t>
      </w:r>
    </w:p>
    <w:p>
      <w:pPr>
        <w:spacing w:before="40" w:after="80" w:line="360" w:lineRule="exact"/>
        <w:ind w:left="680" w:hanging="680"/>
        <w:jc w:val="both"/>
      </w:pPr>
      <w:r>
        <w:rPr>
          <w:rFonts w:ascii="Times New Roman" w:hAnsi="Times New Roman"/>
          <w:sz w:val="22"/>
        </w:rPr>
        <w:t>[53]  Müller, A.C. and Guido, S. (2016). Introduction to Machine Learning with Python: A Guide for Data Scientists. Sebastopol, CA: O'Reilly Media.</w:t>
      </w:r>
    </w:p>
    <w:p>
      <w:pPr>
        <w:spacing w:before="40" w:after="80" w:line="360" w:lineRule="exact"/>
        <w:ind w:left="680" w:hanging="680"/>
        <w:jc w:val="both"/>
      </w:pPr>
      <w:r>
        <w:rPr>
          <w:rFonts w:ascii="Times New Roman" w:hAnsi="Times New Roman"/>
          <w:sz w:val="22"/>
        </w:rPr>
        <w:t>[54]  Postman Inc. (2024). Postman API Testing Documentation. Available at: https://learning.postman.com [Accessed 10 February 2025].</w:t>
      </w:r>
    </w:p>
    <w:p>
      <w:pPr>
        <w:spacing w:before="40" w:after="80" w:line="360" w:lineRule="exact"/>
        <w:ind w:left="680" w:hanging="680"/>
        <w:jc w:val="both"/>
      </w:pPr>
      <w:r>
        <w:rPr>
          <w:rFonts w:ascii="Times New Roman" w:hAnsi="Times New Roman"/>
          <w:sz w:val="22"/>
        </w:rPr>
        <w:t>[55]  Reddy, R.V., Mamatha, T. and Reddy, R.G. (2019). A review on machine learning trends, application and challenges in the field of agriculture. Proceedings of the International Conference on Intelligent Computing and Control Systems (ICICCS), Madurai, India, May 2019, pp.1272–1276. https://doi.org/10.1109/ICCS45141.2019.9065474.</w:t>
      </w:r>
    </w:p>
    <w:p>
      <w:pPr>
        <w:spacing w:before="280" w:after="120"/>
        <w:jc w:val="left"/>
      </w:pPr>
      <w:r>
        <w:rPr>
          <w:rFonts w:ascii="Times New Roman" w:hAnsi="Times New Roman"/>
          <w:b/>
          <w:sz w:val="24"/>
        </w:rPr>
        <w:t>— Ch8 — Social, Legal, Ethical, Sustainability and Safety</w:t>
      </w:r>
    </w:p>
    <w:p>
      <w:pPr>
        <w:spacing w:before="40" w:after="80" w:line="360" w:lineRule="exact"/>
        <w:ind w:left="680" w:hanging="680"/>
        <w:jc w:val="both"/>
      </w:pPr>
      <w:r>
        <w:rPr>
          <w:rFonts w:ascii="Times New Roman" w:hAnsi="Times New Roman"/>
          <w:sz w:val="22"/>
        </w:rPr>
        <w:t>[56]  Aggarwal, P.K., Jarvis, A., Campbell, B.M., Zougmoré, R.B., Khatri-Chhetri, A., Vermeulen, S.J., Loboguerrero, A.M., Sebastian, L.S., Kinyangi, J., Bonilla-Findji, O. and Radeny, M. (2022). Bringing digital revolution to Indian smallholder farmers. Nature Food, 3, pp.14–24. https://doi.org/10.1038/s43016-021-00417-z. [Also cited in Ch1]</w:t>
      </w:r>
    </w:p>
    <w:p>
      <w:pPr>
        <w:spacing w:before="40" w:after="80" w:line="360" w:lineRule="exact"/>
        <w:ind w:left="680" w:hanging="680"/>
        <w:jc w:val="both"/>
      </w:pPr>
      <w:r>
        <w:rPr>
          <w:rFonts w:ascii="Times New Roman" w:hAnsi="Times New Roman"/>
          <w:sz w:val="22"/>
        </w:rPr>
        <w:t>[57]  Mittelstadt, B.D., Allo, P., Taddeo, M., Wachter, S. and Floridi, L. (2016). The ethics of algorithms: Mapping the debate. Big Data and Society, 3(2), pp.1–21. https://doi.org/10.1177/2053951716679679.</w:t>
      </w:r>
    </w:p>
    <w:p>
      <w:pPr>
        <w:spacing w:before="40" w:after="80" w:line="360" w:lineRule="exact"/>
        <w:ind w:left="680" w:hanging="680"/>
        <w:jc w:val="both"/>
      </w:pPr>
      <w:r>
        <w:rPr>
          <w:rFonts w:ascii="Times New Roman" w:hAnsi="Times New Roman"/>
          <w:sz w:val="22"/>
        </w:rPr>
        <w:t>[58]  Obermeyer, Z., Powers, B., Vogeli, C. and Mullainathan, S. (2019). Dissecting racial bias in an algorithm used to manage the health of populations. Science, 366(6464), pp.447–453. https://doi.org/10.1126/science.aax2342.</w:t>
      </w:r>
    </w:p>
    <w:p>
      <w:pPr>
        <w:spacing w:before="40" w:after="80" w:line="360" w:lineRule="exact"/>
        <w:ind w:left="680" w:hanging="680"/>
        <w:jc w:val="both"/>
      </w:pPr>
      <w:r>
        <w:rPr>
          <w:rFonts w:ascii="Times New Roman" w:hAnsi="Times New Roman"/>
          <w:sz w:val="22"/>
        </w:rPr>
        <w:t>[59]  Shcherbak, A., Millar, N. and Robertson, G.P. (2014). Global meta-analysis of the nonlinear response of soil nitrous oxide (N2O) emissions to fertilizer nitrogen. Proceedings of the National Academy of Sciences, 111(25), pp.9199–9204. https://doi.org/10.1073/pnas.1322434111.</w:t>
      </w:r>
    </w:p>
    <w:p>
      <w:pPr>
        <w:spacing w:before="40" w:after="80" w:line="360" w:lineRule="exact"/>
        <w:ind w:left="680" w:hanging="680"/>
        <w:jc w:val="both"/>
      </w:pPr>
      <w:r>
        <w:rPr>
          <w:rFonts w:ascii="Times New Roman" w:hAnsi="Times New Roman"/>
          <w:sz w:val="22"/>
        </w:rPr>
        <w:t>[60]  OWASP Foundation (2023). OWASP Top Ten Web Application Security Risks — 2021. Available at: https://owasp.org/Top10 [Accessed 15 February 2025].</w:t>
      </w:r>
    </w:p>
    <w:p>
      <w:pPr>
        <w:spacing w:before="40" w:after="80" w:line="360" w:lineRule="exact"/>
        <w:ind w:left="680" w:hanging="680"/>
        <w:jc w:val="both"/>
      </w:pPr>
      <w:r>
        <w:rPr>
          <w:rFonts w:ascii="Times New Roman" w:hAnsi="Times New Roman"/>
          <w:sz w:val="22"/>
        </w:rPr>
        <w:t>[61]  Stallman, R.M. (2002). Free Software, Free Society: Selected Essays of Richard M. Stallman. Boston, MA: GNU Press.</w:t>
      </w:r>
    </w:p>
    <w:p>
      <w:pPr>
        <w:spacing w:before="40" w:after="80" w:line="360" w:lineRule="exact"/>
        <w:ind w:left="680" w:hanging="680"/>
        <w:jc w:val="both"/>
      </w:pPr>
      <w:r>
        <w:rPr>
          <w:rFonts w:ascii="Times New Roman" w:hAnsi="Times New Roman"/>
          <w:sz w:val="22"/>
        </w:rPr>
        <w:t>[62]  International Organisation for Standardisation (ISO) (2022). ISO/IEC 27001:2022 — Information Security, Cybersecurity and Privacy Protection — Information Security Management Systems — Requirements. ISO, Geneva.</w:t>
      </w:r>
    </w:p>
    <w:p>
      <w:pPr>
        <w:spacing w:before="280" w:after="120"/>
        <w:jc w:val="left"/>
      </w:pPr>
      <w:r>
        <w:rPr>
          <w:rFonts w:ascii="Times New Roman" w:hAnsi="Times New Roman"/>
          <w:b/>
          <w:sz w:val="24"/>
        </w:rPr>
        <w:t>— Ch9 — Conclusion</w:t>
      </w:r>
    </w:p>
    <w:p>
      <w:pPr>
        <w:spacing w:before="40" w:after="80" w:line="360" w:lineRule="exact"/>
        <w:ind w:left="680" w:hanging="680"/>
        <w:jc w:val="both"/>
      </w:pPr>
      <w:r>
        <w:rPr>
          <w:rFonts w:ascii="Times New Roman" w:hAnsi="Times New Roman"/>
          <w:sz w:val="22"/>
        </w:rPr>
        <w:t>[63]  LeCun, Y., Bengio, Y. and Hinton, G. (2015). Deep learning. Nature, 521(7553), pp.436–444. https://doi.org/10.1038/nature14539.</w:t>
      </w:r>
    </w:p>
    <w:p>
      <w:pPr>
        <w:spacing w:before="40" w:after="80" w:line="360" w:lineRule="exact"/>
        <w:ind w:left="680" w:hanging="680"/>
        <w:jc w:val="both"/>
      </w:pPr>
      <w:r>
        <w:rPr>
          <w:rFonts w:ascii="Times New Roman" w:hAnsi="Times New Roman"/>
          <w:sz w:val="22"/>
        </w:rPr>
        <w:t>[64]  Diro, A.A. and Chilamkurti, N. (2018). Distributed attack detection scheme using deep learning approach for Internet of Things. Future Generation Computer Systems, 82, pp.761–768. https://doi.org/10.1016/j.future.2017.08.043.</w:t>
      </w:r>
    </w:p>
    <w:p>
      <w:pPr>
        <w:spacing w:before="40" w:after="80" w:line="360" w:lineRule="exact"/>
        <w:ind w:left="680" w:hanging="680"/>
        <w:jc w:val="both"/>
      </w:pPr>
      <w:r>
        <w:rPr>
          <w:rFonts w:ascii="Times New Roman" w:hAnsi="Times New Roman"/>
          <w:sz w:val="22"/>
        </w:rPr>
        <w:t>[65]  Varghese, R. and Sharma, S. (2021). Affordable smart farming using IoT and machine learning. Proceedings of the 2021 International Conference on Intelligent Technologies (CONIT), Hubli, India, June 2021. https://doi.org/10.1109/CONIT51480.2021.9498549.</w:t>
      </w:r>
    </w:p>
    <w:p>
      <w:r>
        <w:br w:type="page"/>
      </w:r>
    </w:p>
    <w:p>
      <w:pPr>
        <w:spacing w:after="360"/>
        <w:jc w:val="center"/>
      </w:pPr>
      <w:r>
        <w:rPr>
          <w:rFonts w:ascii="Times New Roman" w:hAnsi="Times New Roman"/>
          <w:b/>
          <w:sz w:val="32"/>
        </w:rPr>
        <w:t>Consolidated Reference List (All Chapters)</w:t>
      </w:r>
    </w:p>
    <w:p>
      <w:pPr>
        <w:jc w:val="both"/>
      </w:pPr>
      <w:r>
        <w:rPr>
          <w:rFonts w:ascii="Times New Roman" w:hAnsi="Times New Roman"/>
          <w:i/>
          <w:sz w:val="22"/>
        </w:rPr>
        <w:t>The following is the complete consolidated reference list for all chapters of the KrishiMitra Major Project Report, formatted in Harvard citation style.</w:t>
      </w:r>
    </w:p>
    <w:p>
      <w:pPr>
        <w:spacing w:before="40" w:after="80" w:line="360" w:lineRule="exact"/>
        <w:ind w:left="680" w:hanging="680"/>
        <w:jc w:val="both"/>
      </w:pPr>
      <w:r>
        <w:rPr>
          <w:rFonts w:ascii="Times New Roman" w:hAnsi="Times New Roman"/>
          <w:sz w:val="22"/>
        </w:rPr>
        <w:t>[1]  United Nations (2015). Transforming Our World: The 2030 Agenda for Sustainable Development. Resolution A/RES/70/1, United Nations General Assembly. Available at: https://sdgs.un.org/2030agenda [Accessed 15 January 2025].</w:t>
      </w:r>
    </w:p>
    <w:p>
      <w:pPr>
        <w:spacing w:before="40" w:after="80" w:line="360" w:lineRule="exact"/>
        <w:ind w:left="680" w:hanging="680"/>
        <w:jc w:val="both"/>
      </w:pPr>
      <w:r>
        <w:rPr>
          <w:rFonts w:ascii="Times New Roman" w:hAnsi="Times New Roman"/>
          <w:sz w:val="22"/>
        </w:rPr>
        <w:t>[2]  Ministry of Agriculture and Farmers' Welfare, Government of India (2019). Agriculture Census 2015-16. Department of Agriculture, Cooperation and Farmers' Welfare, New Delhi. Available at: https://agcensus.nic.in [Accessed 10 January 2025].</w:t>
      </w:r>
    </w:p>
    <w:p>
      <w:pPr>
        <w:spacing w:before="40" w:after="80" w:line="360" w:lineRule="exact"/>
        <w:ind w:left="680" w:hanging="680"/>
        <w:jc w:val="both"/>
      </w:pPr>
      <w:r>
        <w:rPr>
          <w:rFonts w:ascii="Times New Roman" w:hAnsi="Times New Roman"/>
          <w:sz w:val="22"/>
        </w:rPr>
        <w:t>[3]  National Sample Survey Office (NSSO) (2019). Key Indicators of Situation of Agricultural Households and Land and Livestock Holdings of Households in Rural India, 2019. Ministry of Statistics and Programme Implementation, New Delhi.</w:t>
      </w:r>
    </w:p>
    <w:p>
      <w:pPr>
        <w:spacing w:before="40" w:after="80" w:line="360" w:lineRule="exact"/>
        <w:ind w:left="680" w:hanging="680"/>
        <w:jc w:val="both"/>
      </w:pPr>
      <w:r>
        <w:rPr>
          <w:rFonts w:ascii="Times New Roman" w:hAnsi="Times New Roman"/>
          <w:sz w:val="22"/>
        </w:rPr>
        <w:t>[4]  Food and Agriculture Organization (FAO) (2021). Digital Agriculture: Opportunities for Improving Farming Systems. FAO, Rome. Available at: https://www.fao.org/digital-agriculture [Accessed 12 January 2025].</w:t>
      </w:r>
    </w:p>
    <w:p>
      <w:pPr>
        <w:spacing w:before="40" w:after="80" w:line="360" w:lineRule="exact"/>
        <w:ind w:left="680" w:hanging="680"/>
        <w:jc w:val="both"/>
      </w:pPr>
      <w:r>
        <w:rPr>
          <w:rFonts w:ascii="Times New Roman" w:hAnsi="Times New Roman"/>
          <w:sz w:val="22"/>
        </w:rPr>
        <w:t>[5]  Hughes, D.P. and Salathe, M. (2015). An open access repository of images on plant health to enable the development of mobile disease diagnostics. arXiv preprint arXiv:1511.08060. Available at: https://arxiv.org/abs/1511.08060 [Accessed 14 January 2025].</w:t>
      </w:r>
    </w:p>
    <w:p>
      <w:pPr>
        <w:spacing w:before="40" w:after="80" w:line="360" w:lineRule="exact"/>
        <w:ind w:left="680" w:hanging="680"/>
        <w:jc w:val="both"/>
      </w:pPr>
      <w:r>
        <w:rPr>
          <w:rFonts w:ascii="Times New Roman" w:hAnsi="Times New Roman"/>
          <w:sz w:val="22"/>
        </w:rPr>
        <w:t>[6]  Rajak, R.K., Pawar, A., Pendke, M., Shinde, P., Rathod, S. and Devare, A. (2017). Crop recommendation system to maximize crop yield using machine learning technique. International Research Journal of Engineering and Technology (IRJET), 4(12), pp.950–953.</w:t>
      </w:r>
    </w:p>
    <w:p>
      <w:pPr>
        <w:spacing w:before="40" w:after="80" w:line="360" w:lineRule="exact"/>
        <w:ind w:left="680" w:hanging="680"/>
        <w:jc w:val="both"/>
      </w:pPr>
      <w:r>
        <w:rPr>
          <w:rFonts w:ascii="Times New Roman" w:hAnsi="Times New Roman"/>
          <w:sz w:val="22"/>
        </w:rPr>
        <w:t>[7]  Touvron, H., Lavril, T., Izacard, G., Martinet, X., Lachaux, M.A., Lacroix, T., Rozière, B., Goyal, N., Hambro, E., Azhar, F. and Rodriguez, A. (2023). LLaMA: Open and efficient foundation language models. arXiv preprint arXiv:2302.13971.</w:t>
      </w:r>
    </w:p>
    <w:p>
      <w:pPr>
        <w:spacing w:before="40" w:after="80" w:line="360" w:lineRule="exact"/>
        <w:ind w:left="680" w:hanging="680"/>
        <w:jc w:val="both"/>
      </w:pPr>
      <w:r>
        <w:rPr>
          <w:rFonts w:ascii="Times New Roman" w:hAnsi="Times New Roman"/>
          <w:sz w:val="22"/>
        </w:rPr>
        <w:t>[8]  World Bank (2020). India Agricultural Production and Food Security. World Bank Group, Washington D.C. Available at: https://www.worldbank.org/en/country/india [Accessed 8 January 2025].</w:t>
      </w:r>
    </w:p>
    <w:p>
      <w:pPr>
        <w:spacing w:before="40" w:after="80" w:line="360" w:lineRule="exact"/>
        <w:ind w:left="680" w:hanging="680"/>
        <w:jc w:val="both"/>
      </w:pPr>
      <w:r>
        <w:rPr>
          <w:rFonts w:ascii="Times New Roman" w:hAnsi="Times New Roman"/>
          <w:sz w:val="22"/>
        </w:rPr>
        <w:t>[9]  Indian Council of Agricultural Research (ICAR) (2023). Annual Report 2022-23. ICAR, New Delhi. Available at: https://icar.org.in/content/annual-report [Accessed 9 January 2025].</w:t>
      </w:r>
    </w:p>
    <w:p>
      <w:pPr>
        <w:spacing w:before="40" w:after="80" w:line="360" w:lineRule="exact"/>
        <w:ind w:left="680" w:hanging="680"/>
        <w:jc w:val="both"/>
      </w:pPr>
      <w:r>
        <w:rPr>
          <w:rFonts w:ascii="Times New Roman" w:hAnsi="Times New Roman"/>
          <w:sz w:val="22"/>
        </w:rPr>
        <w:t>[10]  Ministry of Agriculture and Farmers' Welfare (2022). Soil Health Card Scheme — Implementation Report. Government of India, New Delhi. Available at: https://soilhealth.dac.gov.in [Accessed 11 January 2025].</w:t>
      </w:r>
    </w:p>
    <w:p>
      <w:pPr>
        <w:spacing w:before="40" w:after="80" w:line="360" w:lineRule="exact"/>
        <w:ind w:left="680" w:hanging="680"/>
        <w:jc w:val="both"/>
      </w:pPr>
      <w:r>
        <w:rPr>
          <w:rFonts w:ascii="Times New Roman" w:hAnsi="Times New Roman"/>
          <w:sz w:val="22"/>
        </w:rPr>
        <w:t>[11]  India Meteorological Department (IMD) (2022). State of the Climate in India 2022. Ministry of Earth Sciences, New Delhi. Available at: https://imdpune.gov.in/Reports [Accessed 11 January 2025].</w:t>
      </w:r>
    </w:p>
    <w:p>
      <w:pPr>
        <w:spacing w:before="40" w:after="80" w:line="360" w:lineRule="exact"/>
        <w:ind w:left="680" w:hanging="680"/>
        <w:jc w:val="both"/>
      </w:pPr>
      <w:r>
        <w:rPr>
          <w:rFonts w:ascii="Times New Roman" w:hAnsi="Times New Roman"/>
          <w:sz w:val="22"/>
        </w:rPr>
        <w:t>[12]  National Disaster Management Authority (NDMA) (2023). Annual Report 2022-23. Government of India, New Delhi. Available at: https://ndma.gov.in [Accessed 13 January 2025].</w:t>
      </w:r>
    </w:p>
    <w:p>
      <w:pPr>
        <w:spacing w:before="40" w:after="80" w:line="360" w:lineRule="exact"/>
        <w:ind w:left="680" w:hanging="680"/>
        <w:jc w:val="both"/>
      </w:pPr>
      <w:r>
        <w:rPr>
          <w:rFonts w:ascii="Times New Roman" w:hAnsi="Times New Roman"/>
          <w:sz w:val="22"/>
        </w:rPr>
        <w:t>[13]  NITI Aayog (2017). Doubling Farmers' Income: Rationale, Strategy, Prospects and Action Plan. Government of India, New Delhi.</w:t>
      </w:r>
    </w:p>
    <w:p>
      <w:pPr>
        <w:spacing w:before="40" w:after="80" w:line="360" w:lineRule="exact"/>
        <w:ind w:left="680" w:hanging="680"/>
        <w:jc w:val="both"/>
      </w:pPr>
      <w:r>
        <w:rPr>
          <w:rFonts w:ascii="Times New Roman" w:hAnsi="Times New Roman"/>
          <w:sz w:val="22"/>
        </w:rPr>
        <w:t>[14]  Aggarwal, P.K., Jarvis, A., Campbell, B.M., Zougmoré, R.B., Khatri-Chhetri, A., Vermeulen, S.J., Loboguerrero, A.M., Sebastian, L.S., Kinyangi, J., Bonilla-Findji, O. and Radeny, M. (2022). Bringing digital revolution to Indian smallholder farmers. Nature Food, 3, pp.14–24. https://doi.org/10.1038/s43016-021-00417-z.</w:t>
      </w:r>
    </w:p>
    <w:p>
      <w:pPr>
        <w:spacing w:before="40" w:after="80" w:line="360" w:lineRule="exact"/>
        <w:ind w:left="680" w:hanging="680"/>
        <w:jc w:val="both"/>
      </w:pPr>
      <w:r>
        <w:rPr>
          <w:rFonts w:ascii="Times New Roman" w:hAnsi="Times New Roman"/>
          <w:sz w:val="22"/>
        </w:rPr>
        <w:t>[15]  Telecom Regulatory Authority of India (TRAI) (2024). Telecom Subscription Data, December 2023. TRAI, New Delhi. Available at: https://trai.gov.in [Accessed 20 January 2025].</w:t>
      </w:r>
    </w:p>
    <w:p>
      <w:pPr>
        <w:spacing w:before="40" w:after="80" w:line="360" w:lineRule="exact"/>
        <w:ind w:left="680" w:hanging="680"/>
        <w:jc w:val="both"/>
      </w:pPr>
      <w:r>
        <w:rPr>
          <w:rFonts w:ascii="Times New Roman" w:hAnsi="Times New Roman"/>
          <w:sz w:val="22"/>
        </w:rPr>
        <w:t>[16]  Mohanty, S.P., Hughes, D.P. and Salathe, M. (2016). Using deep learning for image-based plant disease detection. Frontiers in Plant Science, 7, p.1419. https://doi.org/10.3389/fpls.2016.01419.</w:t>
      </w:r>
    </w:p>
    <w:p>
      <w:pPr>
        <w:spacing w:before="40" w:after="80" w:line="360" w:lineRule="exact"/>
        <w:ind w:left="680" w:hanging="680"/>
        <w:jc w:val="both"/>
      </w:pPr>
      <w:r>
        <w:rPr>
          <w:rFonts w:ascii="Times New Roman" w:hAnsi="Times New Roman"/>
          <w:sz w:val="22"/>
        </w:rPr>
        <w:t>[17]  Ferentinos, K.P. (2018). Deep learning models for plant disease detection and diagnosis. Computers and Electronics in Agriculture, 145, pp.311–318. https://doi.org/10.1016/j.compag.2018.01.009.</w:t>
      </w:r>
    </w:p>
    <w:p>
      <w:pPr>
        <w:spacing w:before="40" w:after="80" w:line="360" w:lineRule="exact"/>
        <w:ind w:left="680" w:hanging="680"/>
        <w:jc w:val="both"/>
      </w:pPr>
      <w:r>
        <w:rPr>
          <w:rFonts w:ascii="Times New Roman" w:hAnsi="Times New Roman"/>
          <w:sz w:val="22"/>
        </w:rPr>
        <w:t>[18]  Selvaraju, R.R., Cogswell, M., Das, A., Vedantam, R., Parikh, D. and Batra, D. (2017). Grad-CAM: Visual explanations from deep networks via gradient-based localization. Proceedings of the IEEE International Conference on Computer Vision (ICCV), Venice, Italy, October 2017, pp.618–626. https://doi.org/10.1109/ICCV.2017.74.</w:t>
      </w:r>
    </w:p>
    <w:p>
      <w:pPr>
        <w:spacing w:before="40" w:after="80" w:line="360" w:lineRule="exact"/>
        <w:ind w:left="680" w:hanging="680"/>
        <w:jc w:val="both"/>
      </w:pPr>
      <w:r>
        <w:rPr>
          <w:rFonts w:ascii="Times New Roman" w:hAnsi="Times New Roman"/>
          <w:sz w:val="22"/>
        </w:rPr>
        <w:t>[19]  Pudumalar, S., Ramanujam, E., Rajashree, R.H., Kavya, C., Kiruthika, T. and Nisha, J. (2017). Crop recommendation system for precision agriculture. Proceedings of the 8th IEEE International Conference on Computing, Communication and Networking Technologies (ICCCNT), Delhi, India, July 2017. https://doi.org/10.1109/ICCCNT.2017.8203948.</w:t>
      </w:r>
    </w:p>
    <w:p>
      <w:pPr>
        <w:spacing w:before="40" w:after="80" w:line="360" w:lineRule="exact"/>
        <w:ind w:left="680" w:hanging="680"/>
        <w:jc w:val="both"/>
      </w:pPr>
      <w:r>
        <w:rPr>
          <w:rFonts w:ascii="Times New Roman" w:hAnsi="Times New Roman"/>
          <w:sz w:val="22"/>
        </w:rPr>
        <w:t>[20]  Kamilaris, A. and Prenafeta-Boldú, F.X. (2018). Deep learning in agriculture: A survey. Computers and Electronics in Agriculture, 147, pp.70–90. https://doi.org/10.1016/j.compag.2018.02.016.</w:t>
      </w:r>
    </w:p>
    <w:p>
      <w:pPr>
        <w:spacing w:before="40" w:after="80" w:line="360" w:lineRule="exact"/>
        <w:ind w:left="680" w:hanging="680"/>
        <w:jc w:val="both"/>
      </w:pPr>
      <w:r>
        <w:rPr>
          <w:rFonts w:ascii="Times New Roman" w:hAnsi="Times New Roman"/>
          <w:sz w:val="22"/>
        </w:rPr>
        <w:t>[21]  Bendre, M.R., Thool, R.C. and Thool, V.R. (2015). Big data in precision agriculture: weather forecasting for future farming. Proceedings of the 1st International Conference on Next Generation Computing Technologies (NGCT), Dehradun, India, September 2015, pp.744–750. https://doi.org/10.1109/NGCT.2015.7375220.</w:t>
      </w:r>
    </w:p>
    <w:p>
      <w:pPr>
        <w:spacing w:before="40" w:after="80" w:line="360" w:lineRule="exact"/>
        <w:ind w:left="680" w:hanging="680"/>
        <w:jc w:val="both"/>
      </w:pPr>
      <w:r>
        <w:rPr>
          <w:rFonts w:ascii="Times New Roman" w:hAnsi="Times New Roman"/>
          <w:sz w:val="22"/>
        </w:rPr>
        <w:t>[22]  Ayaz, M., Ammad-Uddin, M., Sharif, Z., Mansour, A. and Aggoune, E.H.M. (2019). Internet-of-Things (IoT)-based smart agriculture: Toward making the fields talk. IEEE Access, 7, pp.129551–129583. https://doi.org/10.1109/ACCESS.2019.2932609.</w:t>
      </w:r>
    </w:p>
    <w:p>
      <w:pPr>
        <w:spacing w:before="40" w:after="80" w:line="360" w:lineRule="exact"/>
        <w:ind w:left="680" w:hanging="680"/>
        <w:jc w:val="both"/>
      </w:pPr>
      <w:r>
        <w:rPr>
          <w:rFonts w:ascii="Times New Roman" w:hAnsi="Times New Roman"/>
          <w:sz w:val="22"/>
        </w:rPr>
        <w:t>[23]  Misra, N.N., Dixit, Y., Al-Mallahi, A., Bhullar, M.S., Upadhyay, R. and Martynenko, A. (2022). IoT, big data, and artificial intelligence in agriculture and food industry. IEEE Internet of Things Journal, 9(9), pp.6305–6324. https://doi.org/10.1109/JIOT.2020.2998584.</w:t>
      </w:r>
    </w:p>
    <w:p>
      <w:pPr>
        <w:spacing w:before="40" w:after="80" w:line="360" w:lineRule="exact"/>
        <w:ind w:left="680" w:hanging="680"/>
        <w:jc w:val="both"/>
      </w:pPr>
      <w:r>
        <w:rPr>
          <w:rFonts w:ascii="Times New Roman" w:hAnsi="Times New Roman"/>
          <w:sz w:val="22"/>
        </w:rPr>
        <w:t>[24]  Ramcharan, A., Baranowski, K., McCloskey, P., Ahmed, B., Legg, J. and Hughes, D.P. (2017). Deep learning for image-based cassava disease detection. Frontiers in Plant Science, 8, p.1852. https://doi.org/10.3389/fpls.2017.01852.</w:t>
      </w:r>
    </w:p>
    <w:p>
      <w:pPr>
        <w:spacing w:before="40" w:after="80" w:line="360" w:lineRule="exact"/>
        <w:ind w:left="680" w:hanging="680"/>
        <w:jc w:val="both"/>
      </w:pPr>
      <w:r>
        <w:rPr>
          <w:rFonts w:ascii="Times New Roman" w:hAnsi="Times New Roman"/>
          <w:sz w:val="22"/>
        </w:rPr>
        <w:t>[25]  Brahimi, M., Boukhalfa, K. and Moussaoui, A. (2017). Deep learning for tomato diseases: Classification and symptoms visualization. Applied Computational Intelligence and Soft Computing, 2017, Article ID 9042589. https://doi.org/10.1155/2017/9042589.</w:t>
      </w:r>
    </w:p>
    <w:p>
      <w:pPr>
        <w:spacing w:before="40" w:after="80" w:line="360" w:lineRule="exact"/>
        <w:ind w:left="680" w:hanging="680"/>
        <w:jc w:val="both"/>
      </w:pPr>
      <w:r>
        <w:rPr>
          <w:rFonts w:ascii="Times New Roman" w:hAnsi="Times New Roman"/>
          <w:sz w:val="22"/>
        </w:rPr>
        <w:t>[26]  Beck, K., Beedle, M., van Bennekum, A., Cockburn, A., Cunningham, W., Fowler, M., Grenning, J., Highsmith, J., Hunt, A., Jeffries, R. and Kern, J. (2001). Manifesto for Agile Software Development. Agile Alliance. Available at: https://agilemanifesto.org [Accessed 22 January 2025].</w:t>
      </w:r>
    </w:p>
    <w:p>
      <w:pPr>
        <w:spacing w:before="40" w:after="80" w:line="360" w:lineRule="exact"/>
        <w:ind w:left="680" w:hanging="680"/>
        <w:jc w:val="both"/>
      </w:pPr>
      <w:r>
        <w:rPr>
          <w:rFonts w:ascii="Times New Roman" w:hAnsi="Times New Roman"/>
          <w:sz w:val="22"/>
        </w:rPr>
        <w:t>[27]  Schwaber, K. and Sutherland, J. (2020). The Scrum Guide: The Definitive Guide to Scrum — The Rules of the Game. Scrum.org. Available at: https://scrumguides.org [Accessed 22 January 2025].</w:t>
      </w:r>
    </w:p>
    <w:p>
      <w:pPr>
        <w:spacing w:before="40" w:after="80" w:line="360" w:lineRule="exact"/>
        <w:ind w:left="680" w:hanging="680"/>
        <w:jc w:val="both"/>
      </w:pPr>
      <w:r>
        <w:rPr>
          <w:rFonts w:ascii="Times New Roman" w:hAnsi="Times New Roman"/>
          <w:sz w:val="22"/>
        </w:rPr>
        <w:t>[28]  Rubin, K.S. (2012). Essential Scrum: A Practical Guide to the Most Popular Agile Process. Upper Saddle River, NJ: Addison-Wesley Professional.</w:t>
      </w:r>
    </w:p>
    <w:p>
      <w:pPr>
        <w:spacing w:before="40" w:after="80" w:line="360" w:lineRule="exact"/>
        <w:ind w:left="680" w:hanging="680"/>
        <w:jc w:val="both"/>
      </w:pPr>
      <w:r>
        <w:rPr>
          <w:rFonts w:ascii="Times New Roman" w:hAnsi="Times New Roman"/>
          <w:sz w:val="22"/>
        </w:rPr>
        <w:t>[29]  Cohn, M. (2004). User Stories Applied: For Agile Software Development. Boston, MA: Addison-Wesley Professional.</w:t>
      </w:r>
    </w:p>
    <w:p>
      <w:pPr>
        <w:spacing w:before="40" w:after="80" w:line="360" w:lineRule="exact"/>
        <w:ind w:left="680" w:hanging="680"/>
        <w:jc w:val="both"/>
      </w:pPr>
      <w:r>
        <w:rPr>
          <w:rFonts w:ascii="Times New Roman" w:hAnsi="Times New Roman"/>
          <w:sz w:val="22"/>
        </w:rPr>
        <w:t>[30]  Forsberg, K. and Mooz, H. (1991). The relationship of system engineering to the project cycle. Proceedings of the First Annual Symposium of the National Council on Systems Engineering, Chattanooga, TN, October 1991, pp.57–65.</w:t>
      </w:r>
    </w:p>
    <w:p>
      <w:pPr>
        <w:spacing w:before="40" w:after="80" w:line="360" w:lineRule="exact"/>
        <w:ind w:left="680" w:hanging="680"/>
        <w:jc w:val="both"/>
      </w:pPr>
      <w:r>
        <w:rPr>
          <w:rFonts w:ascii="Times New Roman" w:hAnsi="Times New Roman"/>
          <w:sz w:val="22"/>
        </w:rPr>
        <w:t>[31]  Pressman, R.S. and Maxim, B.R. (2020). Software Engineering: A Practitioner's Approach. 9th edn. New York: McGraw-Hill Education.</w:t>
      </w:r>
    </w:p>
    <w:p>
      <w:pPr>
        <w:spacing w:before="40" w:after="80" w:line="360" w:lineRule="exact"/>
        <w:ind w:left="680" w:hanging="680"/>
        <w:jc w:val="both"/>
      </w:pPr>
      <w:r>
        <w:rPr>
          <w:rFonts w:ascii="Times New Roman" w:hAnsi="Times New Roman"/>
          <w:sz w:val="22"/>
        </w:rPr>
        <w:t>[32]  Google LLC (2024). Flutter Documentation — Get Started. Available at: https://flutter.dev/docs [Accessed 25 January 2025].</w:t>
      </w:r>
    </w:p>
    <w:p>
      <w:pPr>
        <w:spacing w:before="40" w:after="80" w:line="360" w:lineRule="exact"/>
        <w:ind w:left="680" w:hanging="680"/>
        <w:jc w:val="both"/>
      </w:pPr>
      <w:r>
        <w:rPr>
          <w:rFonts w:ascii="Times New Roman" w:hAnsi="Times New Roman"/>
          <w:sz w:val="22"/>
        </w:rPr>
        <w:t>[33]  Project Management Institute (2021). A Guide to the Project Management Body of Knowledge (PMBOK Guide). 7th edn. Newtown Square, PA: Project Management Institute.</w:t>
      </w:r>
    </w:p>
    <w:p>
      <w:pPr>
        <w:spacing w:before="40" w:after="80" w:line="360" w:lineRule="exact"/>
        <w:ind w:left="680" w:hanging="680"/>
        <w:jc w:val="both"/>
      </w:pPr>
      <w:r>
        <w:rPr>
          <w:rFonts w:ascii="Times New Roman" w:hAnsi="Times New Roman"/>
          <w:sz w:val="22"/>
        </w:rPr>
        <w:t>[34]  Yüksel, I. (2012). Developing a multi-criteria decision making model for PESTEL analysis. International Journal of Business and Management, 7(24), pp.52–66. https://doi.org/10.5539/ijbm.v7n24p52.</w:t>
      </w:r>
    </w:p>
    <w:p>
      <w:pPr>
        <w:spacing w:before="40" w:after="80" w:line="360" w:lineRule="exact"/>
        <w:ind w:left="680" w:hanging="680"/>
        <w:jc w:val="both"/>
      </w:pPr>
      <w:r>
        <w:rPr>
          <w:rFonts w:ascii="Times New Roman" w:hAnsi="Times New Roman"/>
          <w:sz w:val="22"/>
        </w:rPr>
        <w:t>[35]  Ngo, T. (2020). Agile project management for dummies. 2nd edn. Hoboken, NJ: Wiley Publishing.</w:t>
      </w:r>
    </w:p>
    <w:p>
      <w:pPr>
        <w:spacing w:before="40" w:after="80" w:line="360" w:lineRule="exact"/>
        <w:ind w:left="680" w:hanging="680"/>
        <w:jc w:val="both"/>
      </w:pPr>
      <w:r>
        <w:rPr>
          <w:rFonts w:ascii="Times New Roman" w:hAnsi="Times New Roman"/>
          <w:sz w:val="22"/>
        </w:rPr>
        <w:t>[36]  Pressman, R.S. and Maxim, B.R. (2020). Software Engineering: A Practitioner's Approach. 9th edn. New York: McGraw-Hill Education.</w:t>
      </w:r>
    </w:p>
    <w:p>
      <w:pPr>
        <w:spacing w:before="40" w:after="80" w:line="360" w:lineRule="exact"/>
        <w:ind w:left="680" w:hanging="680"/>
        <w:jc w:val="both"/>
      </w:pPr>
      <w:r>
        <w:rPr>
          <w:rFonts w:ascii="Times New Roman" w:hAnsi="Times New Roman"/>
          <w:sz w:val="22"/>
        </w:rPr>
        <w:t>[37]  Fowler, M. (2002). Patterns of Enterprise Application Architecture. Boston, MA: Addison-Wesley Professional.</w:t>
      </w:r>
    </w:p>
    <w:p>
      <w:pPr>
        <w:spacing w:before="40" w:after="80" w:line="360" w:lineRule="exact"/>
        <w:ind w:left="680" w:hanging="680"/>
        <w:jc w:val="both"/>
      </w:pPr>
      <w:r>
        <w:rPr>
          <w:rFonts w:ascii="Times New Roman" w:hAnsi="Times New Roman"/>
          <w:sz w:val="22"/>
        </w:rPr>
        <w:t>[38]  Jacobson, I., Booch, G. and Rumbaugh, J. (1999). The Unified Software Development Process. Reading, MA: Addison-Wesley.</w:t>
      </w:r>
    </w:p>
    <w:p>
      <w:pPr>
        <w:spacing w:before="40" w:after="80" w:line="360" w:lineRule="exact"/>
        <w:ind w:left="680" w:hanging="680"/>
        <w:jc w:val="both"/>
      </w:pPr>
      <w:r>
        <w:rPr>
          <w:rFonts w:ascii="Times New Roman" w:hAnsi="Times New Roman"/>
          <w:sz w:val="22"/>
        </w:rPr>
        <w:t>[39]  Yourdon, E. (1989). Modern Structured Analysis. Englewood Cliffs, NJ: Prentice Hall.</w:t>
      </w:r>
    </w:p>
    <w:p>
      <w:pPr>
        <w:spacing w:before="40" w:after="80" w:line="360" w:lineRule="exact"/>
        <w:ind w:left="680" w:hanging="680"/>
        <w:jc w:val="both"/>
      </w:pPr>
      <w:r>
        <w:rPr>
          <w:rFonts w:ascii="Times New Roman" w:hAnsi="Times New Roman"/>
          <w:sz w:val="22"/>
        </w:rPr>
        <w:t>[40]  Fielding, R.T. (2000). Architectural Styles and the Design of Network-based Software Architectures. Doctoral Dissertation, University of California, Irvine. Available at: https://www.ics.uci.edu/~fielding/pubs/dissertation/top.htm [Accessed 28 January 2025].</w:t>
      </w:r>
    </w:p>
    <w:p>
      <w:pPr>
        <w:spacing w:before="40" w:after="80" w:line="360" w:lineRule="exact"/>
        <w:ind w:left="680" w:hanging="680"/>
        <w:jc w:val="both"/>
      </w:pPr>
      <w:r>
        <w:rPr>
          <w:rFonts w:ascii="Times New Roman" w:hAnsi="Times New Roman"/>
          <w:sz w:val="22"/>
        </w:rPr>
        <w:t>[41]  Internet Engineering Task Force (IETF) (2022). RFC 7230: Hypertext Transfer Protocol (HTTP/1.1): Message Syntax and Routing. IETF. Available at: https://tools.ietf.org/html/rfc7230 [Accessed 29 January 2025].</w:t>
      </w:r>
    </w:p>
    <w:p>
      <w:pPr>
        <w:spacing w:before="40" w:after="80" w:line="360" w:lineRule="exact"/>
        <w:ind w:left="680" w:hanging="680"/>
        <w:jc w:val="both"/>
      </w:pPr>
      <w:r>
        <w:rPr>
          <w:rFonts w:ascii="Times New Roman" w:hAnsi="Times New Roman"/>
          <w:sz w:val="22"/>
        </w:rPr>
        <w:t>[42]  Google LLC (2023). Material Design 3 — Design System. Available at: https://m3.material.io [Accessed 30 January 2025].</w:t>
      </w:r>
    </w:p>
    <w:p>
      <w:pPr>
        <w:spacing w:before="40" w:after="80" w:line="360" w:lineRule="exact"/>
        <w:ind w:left="680" w:hanging="680"/>
        <w:jc w:val="both"/>
      </w:pPr>
      <w:r>
        <w:rPr>
          <w:rFonts w:ascii="Times New Roman" w:hAnsi="Times New Roman"/>
          <w:sz w:val="22"/>
        </w:rPr>
        <w:t>[43]  Ministry of Electronics and Information Technology (2023). The Digital Personal Data Protection Act, 2023. Government of India, New Delhi. Available at: https://meity.gov.in/content/digital-personal-data-protection-act-2023 [Accessed 1 February 2025].</w:t>
      </w:r>
    </w:p>
    <w:p>
      <w:pPr>
        <w:spacing w:before="40" w:after="80" w:line="360" w:lineRule="exact"/>
        <w:ind w:left="680" w:hanging="680"/>
        <w:jc w:val="both"/>
      </w:pPr>
      <w:r>
        <w:rPr>
          <w:rFonts w:ascii="Times New Roman" w:hAnsi="Times New Roman"/>
          <w:sz w:val="22"/>
        </w:rPr>
        <w:t>[44]  Lutz, M. (2013). Learning Python. 5th edn. Sebastopol, CA: O'Reilly Media.</w:t>
      </w:r>
    </w:p>
    <w:p>
      <w:pPr>
        <w:spacing w:before="40" w:after="80" w:line="360" w:lineRule="exact"/>
        <w:ind w:left="680" w:hanging="680"/>
        <w:jc w:val="both"/>
      </w:pPr>
      <w:r>
        <w:rPr>
          <w:rFonts w:ascii="Times New Roman" w:hAnsi="Times New Roman"/>
          <w:sz w:val="22"/>
        </w:rPr>
        <w:t>[45]  Grinberg, M. (2018). Flask Web Development: Developing Web Applications with Python. 2nd edn. Sebastopol, CA: O'Reilly Media.</w:t>
      </w:r>
    </w:p>
    <w:p>
      <w:pPr>
        <w:spacing w:before="40" w:after="80" w:line="360" w:lineRule="exact"/>
        <w:ind w:left="680" w:hanging="680"/>
        <w:jc w:val="both"/>
      </w:pPr>
      <w:r>
        <w:rPr>
          <w:rFonts w:ascii="Times New Roman" w:hAnsi="Times New Roman"/>
          <w:sz w:val="22"/>
        </w:rPr>
        <w:t>[46]  He, K., Zhang, X., Ren, S. and Sun, J. (2016). Deep residual learning for image recognition. Proceedings of the IEEE Conference on Computer Vision and Pattern Recognition (CVPR), Las Vegas, NV, June 2016, pp.770–778. https://doi.org/10.1109/CVPR.2016.90.</w:t>
      </w:r>
    </w:p>
    <w:p>
      <w:pPr>
        <w:spacing w:before="40" w:after="80" w:line="360" w:lineRule="exact"/>
        <w:ind w:left="680" w:hanging="680"/>
        <w:jc w:val="both"/>
      </w:pPr>
      <w:r>
        <w:rPr>
          <w:rFonts w:ascii="Times New Roman" w:hAnsi="Times New Roman"/>
          <w:sz w:val="22"/>
        </w:rPr>
        <w:t>[47]  Abadi, M., Barham, P., Chen, J., Chen, Z., Davis, A., Dean, J., Devin, M., Ghemawat, S., Irving, G., Isard, M. and Kudlur, M. (2016). TensorFlow: A system for large-scale machine learning. Proceedings of the 12th USENIX Symposium on Operating Systems Design and Implementation (OSDI '16), Savannah, GA, November 2016, pp.265–283.</w:t>
      </w:r>
    </w:p>
    <w:p>
      <w:pPr>
        <w:spacing w:before="40" w:after="80" w:line="360" w:lineRule="exact"/>
        <w:ind w:left="680" w:hanging="680"/>
        <w:jc w:val="both"/>
      </w:pPr>
      <w:r>
        <w:rPr>
          <w:rFonts w:ascii="Times New Roman" w:hAnsi="Times New Roman"/>
          <w:sz w:val="22"/>
        </w:rPr>
        <w:t>[48]  Bradski, G. (2000). The OpenCV library. Dr. Dobb's Journal of Software Tools, 25(11), pp.120–126.</w:t>
      </w:r>
    </w:p>
    <w:p>
      <w:pPr>
        <w:spacing w:before="40" w:after="80" w:line="360" w:lineRule="exact"/>
        <w:ind w:left="680" w:hanging="680"/>
        <w:jc w:val="both"/>
      </w:pPr>
      <w:r>
        <w:rPr>
          <w:rFonts w:ascii="Times New Roman" w:hAnsi="Times New Roman"/>
          <w:sz w:val="22"/>
        </w:rPr>
        <w:t>[49]  Google LLC (2024). Flutter HTTP Package Documentation. Available at: https://pub.dev/packages/http [Accessed 3 February 2025].</w:t>
      </w:r>
    </w:p>
    <w:p>
      <w:pPr>
        <w:spacing w:before="40" w:after="80" w:line="360" w:lineRule="exact"/>
        <w:ind w:left="680" w:hanging="680"/>
        <w:jc w:val="both"/>
      </w:pPr>
      <w:r>
        <w:rPr>
          <w:rFonts w:ascii="Times New Roman" w:hAnsi="Times New Roman"/>
          <w:sz w:val="22"/>
        </w:rPr>
        <w:t>[50]  SQLite Consortium (2024). SQLite Documentation. Available at: https://www.sqlite.org/docs.html [Accessed 3 February 2025].</w:t>
      </w:r>
    </w:p>
    <w:p>
      <w:pPr>
        <w:spacing w:before="40" w:after="80" w:line="360" w:lineRule="exact"/>
        <w:ind w:left="680" w:hanging="680"/>
        <w:jc w:val="both"/>
      </w:pPr>
      <w:r>
        <w:rPr>
          <w:rFonts w:ascii="Times New Roman" w:hAnsi="Times New Roman"/>
          <w:sz w:val="22"/>
        </w:rPr>
        <w:t>[51]  Chollet, F. (2021). Deep Learning with Python. 2nd edn. Shelter Island, NY: Manning Publications.</w:t>
      </w:r>
    </w:p>
    <w:p>
      <w:pPr>
        <w:spacing w:before="40" w:after="80" w:line="360" w:lineRule="exact"/>
        <w:ind w:left="680" w:hanging="680"/>
        <w:jc w:val="both"/>
      </w:pPr>
      <w:r>
        <w:rPr>
          <w:rFonts w:ascii="Times New Roman" w:hAnsi="Times New Roman"/>
          <w:sz w:val="22"/>
        </w:rPr>
        <w:t>[52]  Powers, D.M.W. (2011). Evaluation: From precision, recall and F-measure to ROC, informedness, markedness and correlation. Journal of Machine Learning Technologies, 2(1), pp.37–63.</w:t>
      </w:r>
    </w:p>
    <w:p>
      <w:pPr>
        <w:spacing w:before="40" w:after="80" w:line="360" w:lineRule="exact"/>
        <w:ind w:left="680" w:hanging="680"/>
        <w:jc w:val="both"/>
      </w:pPr>
      <w:r>
        <w:rPr>
          <w:rFonts w:ascii="Times New Roman" w:hAnsi="Times New Roman"/>
          <w:sz w:val="22"/>
        </w:rPr>
        <w:t>[53]  Müller, A.C. and Guido, S. (2016). Introduction to Machine Learning with Python: A Guide for Data Scientists. Sebastopol, CA: O'Reilly Media.</w:t>
      </w:r>
    </w:p>
    <w:p>
      <w:pPr>
        <w:spacing w:before="40" w:after="80" w:line="360" w:lineRule="exact"/>
        <w:ind w:left="680" w:hanging="680"/>
        <w:jc w:val="both"/>
      </w:pPr>
      <w:r>
        <w:rPr>
          <w:rFonts w:ascii="Times New Roman" w:hAnsi="Times New Roman"/>
          <w:sz w:val="22"/>
        </w:rPr>
        <w:t>[54]  Postman Inc. (2024). Postman API Testing Documentation. Available at: https://learning.postman.com [Accessed 10 February 2025].</w:t>
      </w:r>
    </w:p>
    <w:p>
      <w:pPr>
        <w:spacing w:before="40" w:after="80" w:line="360" w:lineRule="exact"/>
        <w:ind w:left="680" w:hanging="680"/>
        <w:jc w:val="both"/>
      </w:pPr>
      <w:r>
        <w:rPr>
          <w:rFonts w:ascii="Times New Roman" w:hAnsi="Times New Roman"/>
          <w:sz w:val="22"/>
        </w:rPr>
        <w:t>[55]  Reddy, R.V., Mamatha, T. and Reddy, R.G. (2019). A review on machine learning trends, application and challenges in the field of agriculture. Proceedings of the International Conference on Intelligent Computing and Control Systems (ICICCS), Madurai, India, May 2019, pp.1272–1276. https://doi.org/10.1109/ICCS45141.2019.9065474.</w:t>
      </w:r>
    </w:p>
    <w:p>
      <w:pPr>
        <w:spacing w:before="40" w:after="80" w:line="360" w:lineRule="exact"/>
        <w:ind w:left="680" w:hanging="680"/>
        <w:jc w:val="both"/>
      </w:pPr>
      <w:r>
        <w:rPr>
          <w:rFonts w:ascii="Times New Roman" w:hAnsi="Times New Roman"/>
          <w:sz w:val="22"/>
        </w:rPr>
        <w:t>[56]  Aggarwal, P.K., Jarvis, A., Campbell, B.M., Zougmoré, R.B., Khatri-Chhetri, A., Vermeulen, S.J., Loboguerrero, A.M., Sebastian, L.S., Kinyangi, J., Bonilla-Findji, O. and Radeny, M. (2022). Bringing digital revolution to Indian smallholder farmers. Nature Food, 3, pp.14–24. https://doi.org/10.1038/s43016-021-00417-z.</w:t>
      </w:r>
    </w:p>
    <w:p>
      <w:pPr>
        <w:spacing w:before="40" w:after="80" w:line="360" w:lineRule="exact"/>
        <w:ind w:left="680" w:hanging="680"/>
        <w:jc w:val="both"/>
      </w:pPr>
      <w:r>
        <w:rPr>
          <w:rFonts w:ascii="Times New Roman" w:hAnsi="Times New Roman"/>
          <w:sz w:val="22"/>
        </w:rPr>
        <w:t>[57]  Mittelstadt, B.D., Allo, P., Taddeo, M., Wachter, S. and Floridi, L. (2016). The ethics of algorithms: Mapping the debate. Big Data and Society, 3(2), pp.1–21. https://doi.org/10.1177/2053951716679679.</w:t>
      </w:r>
    </w:p>
    <w:p>
      <w:pPr>
        <w:spacing w:before="40" w:after="80" w:line="360" w:lineRule="exact"/>
        <w:ind w:left="680" w:hanging="680"/>
        <w:jc w:val="both"/>
      </w:pPr>
      <w:r>
        <w:rPr>
          <w:rFonts w:ascii="Times New Roman" w:hAnsi="Times New Roman"/>
          <w:sz w:val="22"/>
        </w:rPr>
        <w:t>[58]  Obermeyer, Z., Powers, B., Vogeli, C. and Mullainathan, S. (2019). Dissecting racial bias in an algorithm used to manage the health of populations. Science, 366(6464), pp.447–453. https://doi.org/10.1126/science.aax2342.</w:t>
      </w:r>
    </w:p>
    <w:p>
      <w:pPr>
        <w:spacing w:before="40" w:after="80" w:line="360" w:lineRule="exact"/>
        <w:ind w:left="680" w:hanging="680"/>
        <w:jc w:val="both"/>
      </w:pPr>
      <w:r>
        <w:rPr>
          <w:rFonts w:ascii="Times New Roman" w:hAnsi="Times New Roman"/>
          <w:sz w:val="22"/>
        </w:rPr>
        <w:t>[59]  Shcherbak, A., Millar, N. and Robertson, G.P. (2014). Global meta-analysis of the nonlinear response of soil nitrous oxide (N2O) emissions to fertilizer nitrogen. Proceedings of the National Academy of Sciences, 111(25), pp.9199–9204. https://doi.org/10.1073/pnas.1322434111.</w:t>
      </w:r>
    </w:p>
    <w:p>
      <w:pPr>
        <w:spacing w:before="40" w:after="80" w:line="360" w:lineRule="exact"/>
        <w:ind w:left="680" w:hanging="680"/>
        <w:jc w:val="both"/>
      </w:pPr>
      <w:r>
        <w:rPr>
          <w:rFonts w:ascii="Times New Roman" w:hAnsi="Times New Roman"/>
          <w:sz w:val="22"/>
        </w:rPr>
        <w:t>[60]  OWASP Foundation (2023). OWASP Top Ten Web Application Security Risks — 2021. Available at: https://owasp.org/Top10 [Accessed 15 February 2025].</w:t>
      </w:r>
    </w:p>
    <w:p>
      <w:pPr>
        <w:spacing w:before="40" w:after="80" w:line="360" w:lineRule="exact"/>
        <w:ind w:left="680" w:hanging="680"/>
        <w:jc w:val="both"/>
      </w:pPr>
      <w:r>
        <w:rPr>
          <w:rFonts w:ascii="Times New Roman" w:hAnsi="Times New Roman"/>
          <w:sz w:val="22"/>
        </w:rPr>
        <w:t>[61]  Stallman, R.M. (2002). Free Software, Free Society: Selected Essays of Richard M. Stallman. Boston, MA: GNU Press.</w:t>
      </w:r>
    </w:p>
    <w:p>
      <w:pPr>
        <w:spacing w:before="40" w:after="80" w:line="360" w:lineRule="exact"/>
        <w:ind w:left="680" w:hanging="680"/>
        <w:jc w:val="both"/>
      </w:pPr>
      <w:r>
        <w:rPr>
          <w:rFonts w:ascii="Times New Roman" w:hAnsi="Times New Roman"/>
          <w:sz w:val="22"/>
        </w:rPr>
        <w:t>[62]  International Organisation for Standardisation (ISO) (2022). ISO/IEC 27001:2022 — Information Security, Cybersecurity and Privacy Protection — Information Security Management Systems — Requirements. ISO, Geneva.</w:t>
      </w:r>
    </w:p>
    <w:p>
      <w:pPr>
        <w:spacing w:before="40" w:after="80" w:line="360" w:lineRule="exact"/>
        <w:ind w:left="680" w:hanging="680"/>
        <w:jc w:val="both"/>
      </w:pPr>
      <w:r>
        <w:rPr>
          <w:rFonts w:ascii="Times New Roman" w:hAnsi="Times New Roman"/>
          <w:sz w:val="22"/>
        </w:rPr>
        <w:t>[63]  LeCun, Y., Bengio, Y. and Hinton, G. (2015). Deep learning. Nature, 521(7553), pp.436–444. https://doi.org/10.1038/nature14539.</w:t>
      </w:r>
    </w:p>
    <w:p>
      <w:pPr>
        <w:spacing w:before="40" w:after="80" w:line="360" w:lineRule="exact"/>
        <w:ind w:left="680" w:hanging="680"/>
        <w:jc w:val="both"/>
      </w:pPr>
      <w:r>
        <w:rPr>
          <w:rFonts w:ascii="Times New Roman" w:hAnsi="Times New Roman"/>
          <w:sz w:val="22"/>
        </w:rPr>
        <w:t>[64]  Diro, A.A. and Chilamkurti, N. (2018). Distributed attack detection scheme using deep learning approach for Internet of Things. Future Generation Computer Systems, 82, pp.761–768. https://doi.org/10.1016/j.future.2017.08.043.</w:t>
      </w:r>
    </w:p>
    <w:p>
      <w:pPr>
        <w:spacing w:before="40" w:after="80" w:line="360" w:lineRule="exact"/>
        <w:ind w:left="680" w:hanging="680"/>
        <w:jc w:val="both"/>
      </w:pPr>
      <w:r>
        <w:rPr>
          <w:rFonts w:ascii="Times New Roman" w:hAnsi="Times New Roman"/>
          <w:sz w:val="22"/>
        </w:rPr>
        <w:t>[65]  Varghese, R. and Sharma, S. (2021). Affordable smart farming using IoT and machine learning. Proceedings of the 2021 International Conference on Intelligent Technologies (CONIT), Hubli, India, June 2021. https://doi.org/10.1109/CONIT51480.2021.9498549.</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