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MILKLOOP</w:t>
      </w:r>
    </w:p>
    <w:p>
      <w:pPr>
        <w:jc w:val="center"/>
      </w:pPr>
      <w:r>
        <w:rPr>
          <w:b/>
          <w:sz w:val="44"/>
        </w:rPr>
        <w:t>Final Combined Team Report</w:t>
      </w:r>
    </w:p>
    <w:p>
      <w:pPr>
        <w:jc w:val="center"/>
      </w:pPr>
      <w:r>
        <w:rPr>
          <w:i/>
          <w:sz w:val="28"/>
        </w:rPr>
        <w:t>A Circular Milk Packaging System for Design, Take-Back, Recovery &amp; Traceability</w:t>
      </w:r>
    </w:p>
    <w:p>
      <w:pPr>
        <w:jc w:val="center"/>
      </w:pPr>
      <w:r>
        <w:t>Responsible Business, Ethics &amp; Governance</w:t>
      </w:r>
    </w:p>
    <w:p>
      <w:pPr>
        <w:jc w:val="center"/>
      </w:pPr>
      <w:r>
        <w:t>PGDM | FIIB, New Delhi</w:t>
      </w:r>
    </w:p>
    <w:p>
      <w:pPr>
        <w:jc w:val="center"/>
      </w:pPr>
      <w:r>
        <w:t>September 2026</w:t>
      </w:r>
    </w:p>
    <w:p>
      <w:pPr>
        <w:jc w:val="center"/>
      </w:pPr>
      <w:r/>
    </w:p>
    <w:p>
      <w:pPr>
        <w:jc w:val="center"/>
      </w:pPr>
      <w:r>
        <w:t>Team Members</w:t>
      </w:r>
    </w:p>
    <w:p>
      <w:pPr>
        <w:jc w:val="center"/>
      </w:pPr>
      <w:r>
        <w:t>Vishal Kumar — Lifecycle &amp; Baseline Research Analyst</w:t>
      </w:r>
    </w:p>
    <w:p>
      <w:pPr>
        <w:jc w:val="center"/>
      </w:pPr>
      <w:r>
        <w:t>Shivam — Supply Chain &amp; Closed-Loop Operations Lead</w:t>
      </w:r>
    </w:p>
    <w:p>
      <w:pPr>
        <w:jc w:val="center"/>
      </w:pPr>
      <w:r>
        <w:t>Kritika — Triple Bottom Line (TBL) Impact Strategist</w:t>
      </w:r>
    </w:p>
    <w:p>
      <w:pPr>
        <w:jc w:val="center"/>
      </w:pPr>
      <w:r>
        <w:t>Piyush Kumar — Governance &amp; Regulatory Compliance Lead</w:t>
      </w:r>
    </w:p>
    <w:p>
      <w:pPr>
        <w:jc w:val="center"/>
      </w:pPr>
      <w:r>
        <w:t>Vanshika Gupta — Stakeholder Engagement &amp; CSV Strategist</w:t>
      </w:r>
    </w:p>
    <w:p>
      <w:pPr>
        <w:jc w:val="center"/>
      </w:pPr>
      <w:r/>
    </w:p>
    <w:p>
      <w:pPr>
        <w:jc w:val="center"/>
      </w:pPr>
      <w:r>
        <w:t>Faculty Mentor: ______________________________</w:t>
      </w:r>
    </w:p>
    <w:p>
      <w:pPr>
        <w:jc w:val="center"/>
      </w:pPr>
      <w:r>
        <w:t>Team Leader: ________________________________</w:t>
      </w:r>
    </w:p>
    <w:p>
      <w:r>
        <w:br w:type="page"/>
      </w:r>
    </w:p>
    <w:p>
      <w:pPr>
        <w:pStyle w:val="Heading1"/>
      </w:pPr>
      <w:r>
        <w:t>Executive Summary</w:t>
      </w:r>
    </w:p>
    <w:p>
      <w:r>
        <w:t>MilkLoop is proposed as a Circular Milk Packaging System that redesigns the conventional milk-pouch system around design-for-circularity, a defined take-back pathway, reverse logistics, verified material recovery, traceability and appropriate downstream productive use. The project treats the milk pouch not as a disposable endpoint but as a managed circular packaging asset.</w:t>
      </w:r>
    </w:p>
    <w:p>
      <w:r>
        <w:t>The combined team analysis begins with the existing linear lifecycle: raw material → pouch production → dairy processing and filling → distribution → consumer use → post-consumer management. The baseline work finds that India's milk-pouch recovery ecosystem already includes kabadiwalas, aggregators, MRFs and recyclers, but milk-pouch-specific national performance data remain insufficiently established. The team therefore avoids presenting unsupported collection, recycling, environmental or financial outcomes as achieved results.</w:t>
      </w:r>
    </w:p>
    <w:p>
      <w:r>
        <w:t>The proposed redesign has two connected dimensions. First, the packaging system is designed for recovery: mono-material PE/LDPE where technically suitable, material optimisation without compromising performance or food safety, avoidance of unnecessary incompatible components, and identification compatible with recovery. Second, the operating system creates the post-consumer pathway: collection through existing ecosystem channels, local aggregation, sorting and weighment, load consolidation, verified processing and documented downstream use.</w:t>
      </w:r>
    </w:p>
    <w:p>
      <w:r>
        <w:t>The business model combines service revenue with recovered-material value. Service revenue is positioned as the more stable layer, while material value is an additional upside exposed to commodity-price movements. Financial viability is to be validated through pilot data rather than invented margins or revenue assumptions.</w:t>
      </w:r>
    </w:p>
    <w:p>
      <w:r>
        <w:t>Governance is designed as a cross-cutting evidence layer. MilkLoop coordinates the ecosystem but does not replace the statutory responsibility of the applicable dairy/brand owner. The control chain is Weigh → Batch ID → Transfer → Process → Verify → Reconcile → Report. The governing principle is: No sustainability claim without supporting evidence.</w:t>
      </w:r>
    </w:p>
    <w:p>
      <w:pPr>
        <w:pStyle w:val="Heading2"/>
      </w:pPr>
      <w:r>
        <w:t>Project Thesis</w:t>
      </w:r>
    </w:p>
    <w:p>
      <w:r>
        <w:t>The packaging is redesigned for circularity, the supply chain is redesigned for return, and the business model monetises coordination and evidence.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0EBE1"/>
          </w:tcPr>
          <w:p>
            <w:r>
              <w:rPr>
                <w:b/>
                <w:sz w:val="18"/>
              </w:rPr>
              <w:t>Stage</w:t>
            </w:r>
          </w:p>
        </w:tc>
        <w:tc>
          <w:tcPr>
            <w:tcW w:type="dxa" w:w="3360"/>
            <w:shd w:fill="E0EBE1"/>
          </w:tcPr>
          <w:p>
            <w:r>
              <w:rPr>
                <w:b/>
                <w:sz w:val="18"/>
              </w:rPr>
              <w:t>Core Question</w:t>
            </w:r>
          </w:p>
        </w:tc>
        <w:tc>
          <w:tcPr>
            <w:tcW w:type="dxa" w:w="3360"/>
            <w:shd w:fill="E0EBE1"/>
          </w:tcPr>
          <w:p>
            <w:r>
              <w:rPr>
                <w:b/>
                <w:sz w:val="18"/>
              </w:rPr>
              <w:t>Primary Owner</w:t>
            </w:r>
          </w:p>
        </w:tc>
      </w:tr>
      <w:tr>
        <w:tc>
          <w:tcPr>
            <w:tcW w:type="dxa" w:w="3360"/>
            <w:vAlign w:val="center"/>
          </w:tcPr>
          <w:p>
            <w:r>
              <w:rPr>
                <w:sz w:val="17"/>
              </w:rPr>
              <w:t>Baseline</w:t>
            </w:r>
          </w:p>
        </w:tc>
        <w:tc>
          <w:tcPr>
            <w:tcW w:type="dxa" w:w="3360"/>
            <w:vAlign w:val="center"/>
          </w:tcPr>
          <w:p>
            <w:r>
              <w:rPr>
                <w:sz w:val="17"/>
              </w:rPr>
              <w:t>What is wrong today and where is value lost?</w:t>
            </w:r>
          </w:p>
        </w:tc>
        <w:tc>
          <w:tcPr>
            <w:tcW w:type="dxa" w:w="3360"/>
            <w:vAlign w:val="center"/>
          </w:tcPr>
          <w:p>
            <w:r>
              <w:rPr>
                <w:sz w:val="17"/>
              </w:rPr>
              <w:t>Vishal</w:t>
            </w:r>
          </w:p>
        </w:tc>
      </w:tr>
      <w:tr>
        <w:tc>
          <w:tcPr>
            <w:tcW w:type="dxa" w:w="3360"/>
            <w:vAlign w:val="center"/>
          </w:tcPr>
          <w:p>
            <w:r>
              <w:rPr>
                <w:sz w:val="17"/>
              </w:rPr>
              <w:t>Circular operations</w:t>
            </w:r>
          </w:p>
        </w:tc>
        <w:tc>
          <w:tcPr>
            <w:tcW w:type="dxa" w:w="3360"/>
            <w:vAlign w:val="center"/>
          </w:tcPr>
          <w:p>
            <w:r>
              <w:rPr>
                <w:sz w:val="17"/>
              </w:rPr>
              <w:t>How will the redesigned system physically work?</w:t>
            </w:r>
          </w:p>
        </w:tc>
        <w:tc>
          <w:tcPr>
            <w:tcW w:type="dxa" w:w="3360"/>
            <w:vAlign w:val="center"/>
          </w:tcPr>
          <w:p>
            <w:r>
              <w:rPr>
                <w:sz w:val="17"/>
              </w:rPr>
              <w:t>Shivam</w:t>
            </w:r>
          </w:p>
        </w:tc>
      </w:tr>
      <w:tr>
        <w:tc>
          <w:tcPr>
            <w:tcW w:type="dxa" w:w="3360"/>
            <w:vAlign w:val="center"/>
          </w:tcPr>
          <w:p>
            <w:r>
              <w:rPr>
                <w:sz w:val="17"/>
              </w:rPr>
              <w:t>TBL impact</w:t>
            </w:r>
          </w:p>
        </w:tc>
        <w:tc>
          <w:tcPr>
            <w:tcW w:type="dxa" w:w="3360"/>
            <w:vAlign w:val="center"/>
          </w:tcPr>
          <w:p>
            <w:r>
              <w:rPr>
                <w:sz w:val="17"/>
              </w:rPr>
              <w:t>What measurable People–Planet–Profit value is created?</w:t>
            </w:r>
          </w:p>
        </w:tc>
        <w:tc>
          <w:tcPr>
            <w:tcW w:type="dxa" w:w="3360"/>
            <w:vAlign w:val="center"/>
          </w:tcPr>
          <w:p>
            <w:r>
              <w:rPr>
                <w:sz w:val="17"/>
              </w:rPr>
              <w:t>Kritika</w:t>
            </w:r>
          </w:p>
        </w:tc>
      </w:tr>
      <w:tr>
        <w:tc>
          <w:tcPr>
            <w:tcW w:type="dxa" w:w="3360"/>
            <w:vAlign w:val="center"/>
          </w:tcPr>
          <w:p>
            <w:r>
              <w:rPr>
                <w:sz w:val="17"/>
              </w:rPr>
              <w:t>Governance</w:t>
            </w:r>
          </w:p>
        </w:tc>
        <w:tc>
          <w:tcPr>
            <w:tcW w:type="dxa" w:w="3360"/>
            <w:vAlign w:val="center"/>
          </w:tcPr>
          <w:p>
            <w:r>
              <w:rPr>
                <w:sz w:val="17"/>
              </w:rPr>
              <w:t>Can the circularity claims be verified and governed?</w:t>
            </w:r>
          </w:p>
        </w:tc>
        <w:tc>
          <w:tcPr>
            <w:tcW w:type="dxa" w:w="3360"/>
            <w:vAlign w:val="center"/>
          </w:tcPr>
          <w:p>
            <w:r>
              <w:rPr>
                <w:sz w:val="17"/>
              </w:rPr>
              <w:t>Piyush</w:t>
            </w:r>
          </w:p>
        </w:tc>
      </w:tr>
      <w:tr>
        <w:tc>
          <w:tcPr>
            <w:tcW w:type="dxa" w:w="3360"/>
            <w:vAlign w:val="center"/>
          </w:tcPr>
          <w:p>
            <w:r>
              <w:rPr>
                <w:sz w:val="17"/>
              </w:rPr>
              <w:t>Stakeholders &amp; CSV</w:t>
            </w:r>
          </w:p>
        </w:tc>
        <w:tc>
          <w:tcPr>
            <w:tcW w:type="dxa" w:w="3360"/>
            <w:vAlign w:val="center"/>
          </w:tcPr>
          <w:p>
            <w:r>
              <w:rPr>
                <w:sz w:val="17"/>
              </w:rPr>
              <w:t>Why will stakeholders participate and why is it a business?</w:t>
            </w:r>
          </w:p>
        </w:tc>
        <w:tc>
          <w:tcPr>
            <w:tcW w:type="dxa" w:w="3360"/>
            <w:vAlign w:val="center"/>
          </w:tcPr>
          <w:p>
            <w:r>
              <w:rPr>
                <w:sz w:val="17"/>
              </w:rPr>
              <w:t>Vanshika</w:t>
            </w:r>
          </w:p>
        </w:tc>
      </w:tr>
    </w:tbl>
    <w:p>
      <w:pPr>
        <w:pStyle w:val="Heading1"/>
      </w:pPr>
      <w:r>
        <w:t>1. Project Scope, Objective and Design Principles</w:t>
      </w:r>
    </w:p>
    <w:p>
      <w:pPr>
        <w:pStyle w:val="Heading2"/>
      </w:pPr>
      <w:r>
        <w:t>1.1 Objective</w:t>
      </w:r>
    </w:p>
    <w:p>
      <w:r>
        <w:t>The project redesigns a wasteful linear product/system into a financially viable circular model focused on post-consumer milk-pouch packaging and the ecosystem required to return material to productive use.</w:t>
      </w:r>
    </w:p>
    <w:p>
      <w:pPr>
        <w:pStyle w:val="Heading2"/>
      </w:pPr>
      <w:r>
        <w:t>1.2 Scope Boundary</w:t>
      </w:r>
    </w:p>
    <w:tbl>
      <w:tblPr>
        <w:tblStyle w:val="TableGrid"/>
        <w:tblW w:type="auto" w:w="0"/>
        <w:jc w:val="center"/>
        <w:tblLook w:firstColumn="1" w:firstRow="1" w:lastColumn="0" w:lastRow="0" w:noHBand="0" w:noVBand="1" w:val="04A0"/>
      </w:tblPr>
      <w:tblGrid>
        <w:gridCol w:w="5040"/>
        <w:gridCol w:w="5040"/>
      </w:tblGrid>
      <w:tr>
        <w:tc>
          <w:tcPr>
            <w:tcW w:type="dxa" w:w="5040"/>
            <w:shd w:fill="E0EBE1"/>
          </w:tcPr>
          <w:p>
            <w:r>
              <w:rPr>
                <w:b/>
                <w:sz w:val="18"/>
              </w:rPr>
              <w:t>Included</w:t>
            </w:r>
          </w:p>
        </w:tc>
        <w:tc>
          <w:tcPr>
            <w:tcW w:type="dxa" w:w="5040"/>
            <w:shd w:fill="E0EBE1"/>
          </w:tcPr>
          <w:p>
            <w:r>
              <w:rPr>
                <w:b/>
                <w:sz w:val="18"/>
              </w:rPr>
              <w:t>Excluded / Not Claimed</w:t>
            </w:r>
          </w:p>
        </w:tc>
      </w:tr>
      <w:tr>
        <w:tc>
          <w:tcPr>
            <w:tcW w:type="dxa" w:w="5040"/>
            <w:vAlign w:val="center"/>
          </w:tcPr>
          <w:p>
            <w:r>
              <w:rPr>
                <w:sz w:val="17"/>
              </w:rPr>
              <w:t>Post-consumer milk pouch disposal and recovery</w:t>
            </w:r>
          </w:p>
        </w:tc>
        <w:tc>
          <w:tcPr>
            <w:tcW w:type="dxa" w:w="5040"/>
            <w:vAlign w:val="center"/>
          </w:tcPr>
          <w:p>
            <w:r>
              <w:rPr>
                <w:sz w:val="17"/>
              </w:rPr>
              <w:t>Dairy farming and milk production</w:t>
            </w:r>
          </w:p>
        </w:tc>
      </w:tr>
      <w:tr>
        <w:tc>
          <w:tcPr>
            <w:tcW w:type="dxa" w:w="5040"/>
            <w:vAlign w:val="center"/>
          </w:tcPr>
          <w:p>
            <w:r>
              <w:rPr>
                <w:sz w:val="17"/>
              </w:rPr>
              <w:t>Collection, aggregation and reverse logistics</w:t>
            </w:r>
          </w:p>
        </w:tc>
        <w:tc>
          <w:tcPr>
            <w:tcW w:type="dxa" w:w="5040"/>
            <w:vAlign w:val="center"/>
          </w:tcPr>
          <w:p>
            <w:r>
              <w:rPr>
                <w:sz w:val="17"/>
              </w:rPr>
              <w:t>Milk pricing and unrelated dairy economics</w:t>
            </w:r>
          </w:p>
        </w:tc>
      </w:tr>
      <w:tr>
        <w:tc>
          <w:tcPr>
            <w:tcW w:type="dxa" w:w="5040"/>
            <w:vAlign w:val="center"/>
          </w:tcPr>
          <w:p>
            <w:r>
              <w:rPr>
                <w:sz w:val="17"/>
              </w:rPr>
              <w:t>Sorting, processing and downstream material use</w:t>
            </w:r>
          </w:p>
        </w:tc>
        <w:tc>
          <w:tcPr>
            <w:tcW w:type="dxa" w:w="5040"/>
            <w:vAlign w:val="center"/>
          </w:tcPr>
          <w:p>
            <w:r>
              <w:rPr>
                <w:sz w:val="17"/>
              </w:rPr>
              <w:t>Detailed pouch-manufacturing economics outside the defined system</w:t>
            </w:r>
          </w:p>
        </w:tc>
      </w:tr>
      <w:tr>
        <w:tc>
          <w:tcPr>
            <w:tcW w:type="dxa" w:w="5040"/>
            <w:vAlign w:val="center"/>
          </w:tcPr>
          <w:p>
            <w:r>
              <w:rPr>
                <w:sz w:val="17"/>
              </w:rPr>
              <w:t>People, Planet and Profit outcomes</w:t>
            </w:r>
          </w:p>
        </w:tc>
        <w:tc>
          <w:tcPr>
            <w:tcW w:type="dxa" w:w="5040"/>
            <w:vAlign w:val="center"/>
          </w:tcPr>
          <w:p>
            <w:r>
              <w:rPr>
                <w:sz w:val="17"/>
              </w:rPr>
              <w:t>Automatic EPR compliance or transfer of statutory liability</w:t>
            </w:r>
          </w:p>
        </w:tc>
      </w:tr>
      <w:tr>
        <w:tc>
          <w:tcPr>
            <w:tcW w:type="dxa" w:w="5040"/>
            <w:vAlign w:val="center"/>
          </w:tcPr>
          <w:p>
            <w:r>
              <w:rPr>
                <w:sz w:val="17"/>
              </w:rPr>
              <w:t>Traceability, verification and reporting evidence</w:t>
            </w:r>
          </w:p>
        </w:tc>
        <w:tc>
          <w:tcPr>
            <w:tcW w:type="dxa" w:w="5040"/>
            <w:vAlign w:val="center"/>
          </w:tcPr>
          <w:p>
            <w:r>
              <w:rPr>
                <w:sz w:val="17"/>
              </w:rPr>
              <w:t>Automatic food-contact pouch-to-pouch recycling</w:t>
            </w:r>
          </w:p>
        </w:tc>
      </w:tr>
    </w:tbl>
    <w:p>
      <w:pPr>
        <w:pStyle w:val="Heading2"/>
      </w:pPr>
      <w:r>
        <w:t>1.3 Claim Discipline</w:t>
      </w:r>
    </w:p>
    <w:p>
      <w:pPr>
        <w:pStyle w:val="ListBullet"/>
        <w:spacing w:after="40"/>
      </w:pPr>
      <w:r>
        <w:t>MilkLoop is proposed, not an operating company; no achieved collection, recovery, financial or environmental performance is claimed.</w:t>
      </w:r>
    </w:p>
    <w:p>
      <w:pPr>
        <w:pStyle w:val="ListBullet"/>
        <w:spacing w:after="40"/>
      </w:pPr>
      <w:r>
        <w:t>Every numerical result must be labelled Verified, Calculated, Assumption, Scenario, Projection or Proposed Target.</w:t>
      </w:r>
    </w:p>
    <w:p>
      <w:pPr>
        <w:pStyle w:val="ListBullet"/>
        <w:spacing w:after="40"/>
      </w:pPr>
      <w:r>
        <w:t>Collection, processing, recovery and circularity are separate states.</w:t>
      </w:r>
    </w:p>
    <w:p>
      <w:pPr>
        <w:pStyle w:val="ListBullet"/>
        <w:spacing w:after="40"/>
      </w:pPr>
      <w:r>
        <w:t>Recovered material is directed to an appropriate downstream application; food-contact closed-loop use requires technical and regulatory validation.</w:t>
      </w:r>
    </w:p>
    <w:p>
      <w:pPr>
        <w:pStyle w:val="ListBullet"/>
        <w:spacing w:after="40"/>
      </w:pPr>
      <w:r>
        <w:t>MilkLoop supports applicable EPR-related recovery, traceability and reporting; it does not transfer statutory liability.</w:t>
      </w:r>
    </w:p>
    <w:p>
      <w:pPr>
        <w:pStyle w:val="Heading1"/>
      </w:pPr>
      <w:r>
        <w:t>2. Current Linear System &amp; Baseline — Vishal</w:t>
      </w:r>
    </w:p>
    <w:p>
      <w:r>
        <w:t>Core question: What happens to the milk pouch today, where is material and environmental value lost, and what evidence-based baseline should be used to evaluate MilkLoop?</w:t>
      </w:r>
    </w:p>
    <w:p>
      <w:pPr>
        <w:pStyle w:val="Heading2"/>
      </w:pPr>
      <w:r>
        <w:t>2.1 Current Lifecycle</w:t>
      </w:r>
    </w:p>
    <w:p>
      <w:r>
        <w:t>Raw Material → LDPE/LLDPE Pouch Production → Dairy Processing &amp; Filling → Distribution/Retail → Consumer Use → Post-Consumer Management.</w:t>
      </w:r>
    </w:p>
    <w:p>
      <w:pPr>
        <w:pStyle w:val="Heading2"/>
      </w:pPr>
      <w:r>
        <w:t>2.2 Post-Consumer Pathways</w:t>
      </w:r>
    </w:p>
    <w:p>
      <w:pPr>
        <w:pStyle w:val="ListBullet"/>
        <w:spacing w:after="40"/>
      </w:pPr>
      <w:r>
        <w:t>Household → segregated dry waste → waste picker/kabadiwala → aggregator/MRF → recycler.</w:t>
      </w:r>
    </w:p>
    <w:p>
      <w:pPr>
        <w:pStyle w:val="ListBullet"/>
        <w:spacing w:after="40"/>
      </w:pPr>
      <w:r>
        <w:t>Household → mixed waste → municipal collection → MRF/dump-site sorting.</w:t>
      </w:r>
    </w:p>
    <w:p>
      <w:pPr>
        <w:pStyle w:val="ListBullet"/>
        <w:spacing w:after="40"/>
      </w:pPr>
      <w:r>
        <w:t>Household → mixed waste → uncollected/informal disposal → landfill/open dumping.</w:t>
      </w:r>
    </w:p>
    <w:p>
      <w:pPr>
        <w:pStyle w:val="ListBullet"/>
        <w:spacing w:after="40"/>
      </w:pPr>
      <w:r>
        <w:t>Leakage to drains/water bodies or open burning.</w:t>
      </w:r>
    </w:p>
    <w:p>
      <w:pPr>
        <w:pStyle w:val="Heading2"/>
      </w:pPr>
      <w:r>
        <w:t>2.3 Existing Recovery Ecosystem</w:t>
      </w:r>
    </w:p>
    <w:p>
      <w:r>
        <w:t>The ecosystem includes waste pickers and kabadiwalas, itinerant buyers/aggregators, MRFs, registered recyclers or waste processors, and municipal/SPCB/CPCB actors. MilkLoop should strengthen the existing recovery ecosystem rather than bypass or displace it without compensation.</w:t>
      </w:r>
    </w:p>
    <w:p>
      <w:pPr>
        <w:pStyle w:val="Heading2"/>
      </w:pPr>
      <w:r>
        <w:t>2.4 Material-Flow Accounting</w:t>
      </w:r>
    </w:p>
    <w:p>
      <w:r>
        <w:t>Material Introduced → Consumed → Post-Consumer → Collected → Segregated → Sorted → Processed → Recovered / Lost.</w:t>
      </w:r>
    </w:p>
    <w:tbl>
      <w:tblPr>
        <w:tblStyle w:val="TableGrid"/>
        <w:tblW w:type="auto" w:w="0"/>
        <w:jc w:val="center"/>
        <w:tblLook w:firstColumn="1" w:firstRow="1" w:lastColumn="0" w:lastRow="0" w:noHBand="0" w:noVBand="1" w:val="04A0"/>
      </w:tblPr>
      <w:tblGrid>
        <w:gridCol w:w="5040"/>
        <w:gridCol w:w="5040"/>
      </w:tblGrid>
      <w:tr>
        <w:tc>
          <w:tcPr>
            <w:tcW w:type="dxa" w:w="5040"/>
            <w:shd w:fill="E0EBE1"/>
          </w:tcPr>
          <w:p>
            <w:r>
              <w:rPr>
                <w:b/>
                <w:sz w:val="18"/>
              </w:rPr>
              <w:t>KPI</w:t>
            </w:r>
          </w:p>
        </w:tc>
        <w:tc>
          <w:tcPr>
            <w:tcW w:type="dxa" w:w="5040"/>
            <w:shd w:fill="E0EBE1"/>
          </w:tcPr>
          <w:p>
            <w:r>
              <w:rPr>
                <w:b/>
                <w:sz w:val="18"/>
              </w:rPr>
              <w:t>Definition</w:t>
            </w:r>
          </w:p>
        </w:tc>
      </w:tr>
      <w:tr>
        <w:tc>
          <w:tcPr>
            <w:tcW w:type="dxa" w:w="5040"/>
            <w:vAlign w:val="center"/>
          </w:tcPr>
          <w:p>
            <w:r>
              <w:rPr>
                <w:sz w:val="17"/>
              </w:rPr>
              <w:t>Collection Rate</w:t>
            </w:r>
          </w:p>
        </w:tc>
        <w:tc>
          <w:tcPr>
            <w:tcW w:type="dxa" w:w="5040"/>
            <w:vAlign w:val="center"/>
          </w:tcPr>
          <w:p>
            <w:r>
              <w:rPr>
                <w:sz w:val="17"/>
              </w:rPr>
              <w:t>Collected Material ÷ Available Post-Consumer Material × 100</w:t>
            </w:r>
          </w:p>
        </w:tc>
      </w:tr>
      <w:tr>
        <w:tc>
          <w:tcPr>
            <w:tcW w:type="dxa" w:w="5040"/>
            <w:vAlign w:val="center"/>
          </w:tcPr>
          <w:p>
            <w:r>
              <w:rPr>
                <w:sz w:val="17"/>
              </w:rPr>
              <w:t>Segregation Rate</w:t>
            </w:r>
          </w:p>
        </w:tc>
        <w:tc>
          <w:tcPr>
            <w:tcW w:type="dxa" w:w="5040"/>
            <w:vAlign w:val="center"/>
          </w:tcPr>
          <w:p>
            <w:r>
              <w:rPr>
                <w:sz w:val="17"/>
              </w:rPr>
              <w:t>Segregated Material ÷ Collected Material × 100</w:t>
            </w:r>
          </w:p>
        </w:tc>
      </w:tr>
      <w:tr>
        <w:tc>
          <w:tcPr>
            <w:tcW w:type="dxa" w:w="5040"/>
            <w:vAlign w:val="center"/>
          </w:tcPr>
          <w:p>
            <w:r>
              <w:rPr>
                <w:sz w:val="17"/>
              </w:rPr>
              <w:t>Sorting Efficiency</w:t>
            </w:r>
          </w:p>
        </w:tc>
        <w:tc>
          <w:tcPr>
            <w:tcW w:type="dxa" w:w="5040"/>
            <w:vAlign w:val="center"/>
          </w:tcPr>
          <w:p>
            <w:r>
              <w:rPr>
                <w:sz w:val="17"/>
              </w:rPr>
              <w:t>Sorted Material ÷ Collected Material × 100</w:t>
            </w:r>
          </w:p>
        </w:tc>
      </w:tr>
      <w:tr>
        <w:tc>
          <w:tcPr>
            <w:tcW w:type="dxa" w:w="5040"/>
            <w:vAlign w:val="center"/>
          </w:tcPr>
          <w:p>
            <w:r>
              <w:rPr>
                <w:sz w:val="17"/>
              </w:rPr>
              <w:t>Recovery Yield</w:t>
            </w:r>
          </w:p>
        </w:tc>
        <w:tc>
          <w:tcPr>
            <w:tcW w:type="dxa" w:w="5040"/>
            <w:vAlign w:val="center"/>
          </w:tcPr>
          <w:p>
            <w:r>
              <w:rPr>
                <w:sz w:val="17"/>
              </w:rPr>
              <w:t>Recovered Material ÷ Processed Material × 100</w:t>
            </w:r>
          </w:p>
        </w:tc>
      </w:tr>
      <w:tr>
        <w:tc>
          <w:tcPr>
            <w:tcW w:type="dxa" w:w="5040"/>
            <w:vAlign w:val="center"/>
          </w:tcPr>
          <w:p>
            <w:r>
              <w:rPr>
                <w:sz w:val="17"/>
              </w:rPr>
              <w:t>Effective Recovery Rate</w:t>
            </w:r>
          </w:p>
        </w:tc>
        <w:tc>
          <w:tcPr>
            <w:tcW w:type="dxa" w:w="5040"/>
            <w:vAlign w:val="center"/>
          </w:tcPr>
          <w:p>
            <w:r>
              <w:rPr>
                <w:sz w:val="17"/>
              </w:rPr>
              <w:t>Recovered Material ÷ Initial Material Introduced × 100</w:t>
            </w:r>
          </w:p>
        </w:tc>
      </w:tr>
      <w:tr>
        <w:tc>
          <w:tcPr>
            <w:tcW w:type="dxa" w:w="5040"/>
            <w:vAlign w:val="center"/>
          </w:tcPr>
          <w:p>
            <w:r>
              <w:rPr>
                <w:sz w:val="17"/>
              </w:rPr>
              <w:t>Material Loss</w:t>
            </w:r>
          </w:p>
        </w:tc>
        <w:tc>
          <w:tcPr>
            <w:tcW w:type="dxa" w:w="5040"/>
            <w:vAlign w:val="center"/>
          </w:tcPr>
          <w:p>
            <w:r>
              <w:rPr>
                <w:sz w:val="17"/>
              </w:rPr>
              <w:t>Initial Material − Recovered Material</w:t>
            </w:r>
          </w:p>
        </w:tc>
      </w:tr>
      <w:tr>
        <w:tc>
          <w:tcPr>
            <w:tcW w:type="dxa" w:w="5040"/>
            <w:vAlign w:val="center"/>
          </w:tcPr>
          <w:p>
            <w:r>
              <w:rPr>
                <w:sz w:val="17"/>
              </w:rPr>
              <w:t>Contamination Rate</w:t>
            </w:r>
          </w:p>
        </w:tc>
        <w:tc>
          <w:tcPr>
            <w:tcW w:type="dxa" w:w="5040"/>
            <w:vAlign w:val="center"/>
          </w:tcPr>
          <w:p>
            <w:r>
              <w:rPr>
                <w:sz w:val="17"/>
              </w:rPr>
              <w:t>Contaminated Material ÷ Collected Material × 100</w:t>
            </w:r>
          </w:p>
        </w:tc>
      </w:tr>
    </w:tbl>
    <w:p>
      <w:pPr>
        <w:pStyle w:val="Heading2"/>
      </w:pPr>
      <w:r>
        <w:t>2.5 Evidence Gaps</w:t>
      </w:r>
    </w:p>
    <w:p>
      <w:r>
        <w:t>The research reviewed did not identify an authoritative India-wide, milk-pouch-specific figure for collection rate, recycling rate, contamination or recovery yield. Generic plastic/LDPE benchmarks may provide context but should not be presented as MilkLoop or India-specific milk-pouch results. The evidence gap itself is a finding and creates the need for a credible pilot baseline.</w:t>
      </w:r>
    </w:p>
    <w:p>
      <w:pPr>
        <w:pStyle w:val="Heading1"/>
      </w:pPr>
      <w:r>
        <w:t>3. Packaging Redesign — From Disposable Pouch to Circular Asset</w:t>
      </w:r>
    </w:p>
    <w:p>
      <w:r>
        <w:t>MilkLoop is not positioned merely as a recycling service. It is a circular packaging system in which packaging design and recovery infrastructure reinforce one another.</w:t>
      </w:r>
    </w:p>
    <w:tbl>
      <w:tblPr>
        <w:tblStyle w:val="TableGrid"/>
        <w:tblW w:type="auto" w:w="0"/>
        <w:jc w:val="center"/>
        <w:tblLook w:firstColumn="1" w:firstRow="1" w:lastColumn="0" w:lastRow="0" w:noHBand="0" w:noVBand="1" w:val="04A0"/>
      </w:tblPr>
      <w:tblGrid>
        <w:gridCol w:w="5040"/>
        <w:gridCol w:w="5040"/>
      </w:tblGrid>
      <w:tr>
        <w:tc>
          <w:tcPr>
            <w:tcW w:type="dxa" w:w="5040"/>
            <w:shd w:fill="E0EBE1"/>
          </w:tcPr>
          <w:p>
            <w:r>
              <w:rPr>
                <w:b/>
                <w:sz w:val="18"/>
              </w:rPr>
              <w:t>Conventional System</w:t>
            </w:r>
          </w:p>
        </w:tc>
        <w:tc>
          <w:tcPr>
            <w:tcW w:type="dxa" w:w="5040"/>
            <w:shd w:fill="E0EBE1"/>
          </w:tcPr>
          <w:p>
            <w:r>
              <w:rPr>
                <w:b/>
                <w:sz w:val="18"/>
              </w:rPr>
              <w:t>MilkLoop System</w:t>
            </w:r>
          </w:p>
        </w:tc>
      </w:tr>
      <w:tr>
        <w:tc>
          <w:tcPr>
            <w:tcW w:type="dxa" w:w="5040"/>
            <w:vAlign w:val="center"/>
          </w:tcPr>
          <w:p>
            <w:r>
              <w:rPr>
                <w:sz w:val="17"/>
              </w:rPr>
              <w:t>Design → Use → Dispose</w:t>
            </w:r>
          </w:p>
        </w:tc>
        <w:tc>
          <w:tcPr>
            <w:tcW w:type="dxa" w:w="5040"/>
            <w:vAlign w:val="center"/>
          </w:tcPr>
          <w:p>
            <w:r>
              <w:rPr>
                <w:sz w:val="17"/>
              </w:rPr>
              <w:t>Design → Use → Return → Recover → Downstream Use</w:t>
            </w:r>
          </w:p>
        </w:tc>
      </w:tr>
      <w:tr>
        <w:tc>
          <w:tcPr>
            <w:tcW w:type="dxa" w:w="5040"/>
            <w:vAlign w:val="center"/>
          </w:tcPr>
          <w:p>
            <w:r>
              <w:rPr>
                <w:sz w:val="17"/>
              </w:rPr>
              <w:t>Packaging considered mainly at point of sale/use</w:t>
            </w:r>
          </w:p>
        </w:tc>
        <w:tc>
          <w:tcPr>
            <w:tcW w:type="dxa" w:w="5040"/>
            <w:vAlign w:val="center"/>
          </w:tcPr>
          <w:p>
            <w:r>
              <w:rPr>
                <w:sz w:val="17"/>
              </w:rPr>
              <w:t>Post-consumer journey considered in design</w:t>
            </w:r>
          </w:p>
        </w:tc>
      </w:tr>
      <w:tr>
        <w:tc>
          <w:tcPr>
            <w:tcW w:type="dxa" w:w="5040"/>
            <w:vAlign w:val="center"/>
          </w:tcPr>
          <w:p>
            <w:r>
              <w:rPr>
                <w:sz w:val="17"/>
              </w:rPr>
              <w:t>Fragmented collection</w:t>
            </w:r>
          </w:p>
        </w:tc>
        <w:tc>
          <w:tcPr>
            <w:tcW w:type="dxa" w:w="5040"/>
            <w:vAlign w:val="center"/>
          </w:tcPr>
          <w:p>
            <w:r>
              <w:rPr>
                <w:sz w:val="17"/>
              </w:rPr>
              <w:t>Defined take-back pathway</w:t>
            </w:r>
          </w:p>
        </w:tc>
      </w:tr>
      <w:tr>
        <w:tc>
          <w:tcPr>
            <w:tcW w:type="dxa" w:w="5040"/>
            <w:vAlign w:val="center"/>
          </w:tcPr>
          <w:p>
            <w:r>
              <w:rPr>
                <w:sz w:val="17"/>
              </w:rPr>
              <w:t>Limited visibility</w:t>
            </w:r>
          </w:p>
        </w:tc>
        <w:tc>
          <w:tcPr>
            <w:tcW w:type="dxa" w:w="5040"/>
            <w:vAlign w:val="center"/>
          </w:tcPr>
          <w:p>
            <w:r>
              <w:rPr>
                <w:sz w:val="17"/>
              </w:rPr>
              <w:t>Traceable material journey</w:t>
            </w:r>
          </w:p>
        </w:tc>
      </w:tr>
      <w:tr>
        <w:tc>
          <w:tcPr>
            <w:tcW w:type="dxa" w:w="5040"/>
            <w:vAlign w:val="center"/>
          </w:tcPr>
          <w:p>
            <w:r>
              <w:rPr>
                <w:sz w:val="17"/>
              </w:rPr>
              <w:t>Uncertain end destination</w:t>
            </w:r>
          </w:p>
        </w:tc>
        <w:tc>
          <w:tcPr>
            <w:tcW w:type="dxa" w:w="5040"/>
            <w:vAlign w:val="center"/>
          </w:tcPr>
          <w:p>
            <w:r>
              <w:rPr>
                <w:sz w:val="17"/>
              </w:rPr>
              <w:t>Defined downstream application</w:t>
            </w:r>
          </w:p>
        </w:tc>
      </w:tr>
    </w:tbl>
    <w:p>
      <w:pPr>
        <w:pStyle w:val="Heading2"/>
      </w:pPr>
      <w:r>
        <w:t>3.1 Design-for-Circularity Principles</w:t>
      </w:r>
    </w:p>
    <w:p>
      <w:pPr>
        <w:pStyle w:val="ListBullet"/>
        <w:spacing w:after="40"/>
      </w:pPr>
      <w:r>
        <w:t>Use mono-material PE/LDPE where technically suitable.</w:t>
      </w:r>
    </w:p>
    <w:p>
      <w:pPr>
        <w:pStyle w:val="ListBullet"/>
        <w:spacing w:after="40"/>
      </w:pPr>
      <w:r>
        <w:t>Optimise material use or thickness where technically feasible without compromising packaging performance or food safety.</w:t>
      </w:r>
    </w:p>
    <w:p>
      <w:pPr>
        <w:pStyle w:val="ListBullet"/>
        <w:spacing w:after="40"/>
      </w:pPr>
      <w:r>
        <w:t>Avoid unnecessary incompatible components that hinder sorting or recycling.</w:t>
      </w:r>
    </w:p>
    <w:p>
      <w:pPr>
        <w:pStyle w:val="ListBullet"/>
        <w:spacing w:after="40"/>
      </w:pPr>
      <w:r>
        <w:t>Enable identification compatible with the recovery pathway.</w:t>
      </w:r>
    </w:p>
    <w:p>
      <w:pPr>
        <w:pStyle w:val="ListBullet"/>
        <w:spacing w:after="40"/>
      </w:pPr>
      <w:r>
        <w:t>Design beyond point of sale by considering collection, sorting, processing and downstream use.</w:t>
      </w:r>
    </w:p>
    <w:p>
      <w:r>
        <w:t>The project does not claim 100% recyclability or automatic pouch-to-pouch food-contact recycling. Phase 1 should prioritise appropriate approved downstream applications; higher-value or food-contact closed-loop applications require technical and regulatory validation.</w:t>
      </w:r>
    </w:p>
    <w:p>
      <w:pPr>
        <w:pStyle w:val="Heading1"/>
      </w:pPr>
      <w:r>
        <w:t>4. Closed-Loop Supply Chain &amp; Reverse Logistics — Shivam</w:t>
      </w:r>
    </w:p>
    <w:p>
      <w:pPr>
        <w:pStyle w:val="Heading2"/>
      </w:pPr>
      <w:r>
        <w:t>4.1 Operating Architecture</w:t>
      </w:r>
    </w:p>
    <w:p>
      <w:r>
        <w:t>Consumer → Kabadiwala / RWA / Milk Booth / Municipal MRF → MilkLoop Coordination &amp; Digital Tracking → Local Aggregation → Sorting + Weighment + Quality Check → Load Consolidation → Verified Processor → Recovered Material → Appropriate Downstream Application → Productive Re-entry.</w:t>
      </w:r>
    </w:p>
    <w:p>
      <w:pPr>
        <w:pStyle w:val="Heading2"/>
      </w:pPr>
      <w:r>
        <w:t>4.2 Four Operating Principles</w:t>
      </w:r>
    </w:p>
    <w:tbl>
      <w:tblPr>
        <w:tblStyle w:val="TableGrid"/>
        <w:tblW w:type="auto" w:w="0"/>
        <w:jc w:val="center"/>
        <w:tblLook w:firstColumn="1" w:firstRow="1" w:lastColumn="0" w:lastRow="0" w:noHBand="0" w:noVBand="1" w:val="04A0"/>
      </w:tblPr>
      <w:tblGrid>
        <w:gridCol w:w="5040"/>
        <w:gridCol w:w="5040"/>
      </w:tblGrid>
      <w:tr>
        <w:tc>
          <w:tcPr>
            <w:tcW w:type="dxa" w:w="5040"/>
            <w:shd w:fill="E0EBE1"/>
          </w:tcPr>
          <w:p>
            <w:r>
              <w:rPr>
                <w:b/>
                <w:sz w:val="18"/>
              </w:rPr>
              <w:t>Principle</w:t>
            </w:r>
          </w:p>
        </w:tc>
        <w:tc>
          <w:tcPr>
            <w:tcW w:type="dxa" w:w="5040"/>
            <w:shd w:fill="E0EBE1"/>
          </w:tcPr>
          <w:p>
            <w:r>
              <w:rPr>
                <w:b/>
                <w:sz w:val="18"/>
              </w:rPr>
              <w:t>Application</w:t>
            </w:r>
          </w:p>
        </w:tc>
      </w:tr>
      <w:tr>
        <w:tc>
          <w:tcPr>
            <w:tcW w:type="dxa" w:w="5040"/>
            <w:vAlign w:val="center"/>
          </w:tcPr>
          <w:p>
            <w:r>
              <w:rPr>
                <w:sz w:val="17"/>
              </w:rPr>
              <w:t>COLLECT</w:t>
            </w:r>
          </w:p>
        </w:tc>
        <w:tc>
          <w:tcPr>
            <w:tcW w:type="dxa" w:w="5040"/>
            <w:vAlign w:val="center"/>
          </w:tcPr>
          <w:p>
            <w:r>
              <w:rPr>
                <w:sz w:val="17"/>
              </w:rPr>
              <w:t>Create convenient channels through which used pouches can enter the recovery system.</w:t>
            </w:r>
          </w:p>
        </w:tc>
      </w:tr>
      <w:tr>
        <w:tc>
          <w:tcPr>
            <w:tcW w:type="dxa" w:w="5040"/>
            <w:vAlign w:val="center"/>
          </w:tcPr>
          <w:p>
            <w:r>
              <w:rPr>
                <w:sz w:val="17"/>
              </w:rPr>
              <w:t>CONSOLIDATE</w:t>
            </w:r>
          </w:p>
        </w:tc>
        <w:tc>
          <w:tcPr>
            <w:tcW w:type="dxa" w:w="5040"/>
            <w:vAlign w:val="center"/>
          </w:tcPr>
          <w:p>
            <w:r>
              <w:rPr>
                <w:sz w:val="17"/>
              </w:rPr>
              <w:t>Combine smaller quantities before long-distance transportation.</w:t>
            </w:r>
          </w:p>
        </w:tc>
      </w:tr>
      <w:tr>
        <w:tc>
          <w:tcPr>
            <w:tcW w:type="dxa" w:w="5040"/>
            <w:vAlign w:val="center"/>
          </w:tcPr>
          <w:p>
            <w:r>
              <w:rPr>
                <w:sz w:val="17"/>
              </w:rPr>
              <w:t>CONTROL</w:t>
            </w:r>
          </w:p>
        </w:tc>
        <w:tc>
          <w:tcPr>
            <w:tcW w:type="dxa" w:w="5040"/>
            <w:vAlign w:val="center"/>
          </w:tcPr>
          <w:p>
            <w:r>
              <w:rPr>
                <w:sz w:val="17"/>
              </w:rPr>
              <w:t>Introduce sorting, quality checks, weighing and batch records before downstream movement.</w:t>
            </w:r>
          </w:p>
        </w:tc>
      </w:tr>
      <w:tr>
        <w:tc>
          <w:tcPr>
            <w:tcW w:type="dxa" w:w="5040"/>
            <w:vAlign w:val="center"/>
          </w:tcPr>
          <w:p>
            <w:r>
              <w:rPr>
                <w:sz w:val="17"/>
              </w:rPr>
              <w:t>CIRCULATE</w:t>
            </w:r>
          </w:p>
        </w:tc>
        <w:tc>
          <w:tcPr>
            <w:tcW w:type="dxa" w:w="5040"/>
            <w:vAlign w:val="center"/>
          </w:tcPr>
          <w:p>
            <w:r>
              <w:rPr>
                <w:sz w:val="17"/>
              </w:rPr>
              <w:t>Ensure recovered material has a defined downstream application rather than stopping at collection.</w:t>
            </w:r>
          </w:p>
        </w:tc>
      </w:tr>
    </w:tbl>
    <w:p>
      <w:pPr>
        <w:pStyle w:val="Heading2"/>
      </w:pPr>
      <w:r>
        <w:t>4.3 Reverse Logistics Economics</w:t>
      </w:r>
    </w:p>
    <w:p>
      <w:r>
        <w:t>Milk pouches are lightweight, dispersed and relatively low-value. Low-volume movement can produce poor vehicle utilisation and high logistics cost per kilogram. MilkLoop therefore uses cluster collection, local aggregation, load consolidation and route planning around actual volume and partner capacity.</w:t>
      </w:r>
    </w:p>
    <w:p>
      <w:r>
        <w:t>Higher vehicle utilisation → Lower logistics cost/kg → Better contribution potential.</w:t>
      </w:r>
    </w:p>
    <w:p>
      <w:pPr>
        <w:pStyle w:val="Heading2"/>
      </w:pPr>
      <w:r>
        <w:t>4.4 Operational KPIs</w:t>
      </w:r>
    </w:p>
    <w:tbl>
      <w:tblPr>
        <w:tblStyle w:val="TableGrid"/>
        <w:tblW w:type="auto" w:w="0"/>
        <w:jc w:val="center"/>
        <w:tblLook w:firstColumn="1" w:firstRow="1" w:lastColumn="0" w:lastRow="0" w:noHBand="0" w:noVBand="1" w:val="04A0"/>
      </w:tblPr>
      <w:tblGrid>
        <w:gridCol w:w="5040"/>
        <w:gridCol w:w="5040"/>
      </w:tblGrid>
      <w:tr>
        <w:tc>
          <w:tcPr>
            <w:tcW w:type="dxa" w:w="5040"/>
            <w:shd w:fill="E0EBE1"/>
          </w:tcPr>
          <w:p>
            <w:r>
              <w:rPr>
                <w:b/>
                <w:sz w:val="18"/>
              </w:rPr>
              <w:t>KPI</w:t>
            </w:r>
          </w:p>
        </w:tc>
        <w:tc>
          <w:tcPr>
            <w:tcW w:type="dxa" w:w="5040"/>
            <w:shd w:fill="E0EBE1"/>
          </w:tcPr>
          <w:p>
            <w:r>
              <w:rPr>
                <w:b/>
                <w:sz w:val="18"/>
              </w:rPr>
              <w:t>Purpose</w:t>
            </w:r>
          </w:p>
        </w:tc>
      </w:tr>
      <w:tr>
        <w:tc>
          <w:tcPr>
            <w:tcW w:type="dxa" w:w="5040"/>
            <w:vAlign w:val="center"/>
          </w:tcPr>
          <w:p>
            <w:r>
              <w:rPr>
                <w:sz w:val="17"/>
              </w:rPr>
              <w:t>Collection Volume / Route</w:t>
            </w:r>
          </w:p>
        </w:tc>
        <w:tc>
          <w:tcPr>
            <w:tcW w:type="dxa" w:w="5040"/>
            <w:vAlign w:val="center"/>
          </w:tcPr>
          <w:p>
            <w:r>
              <w:rPr>
                <w:sz w:val="17"/>
              </w:rPr>
              <w:t>Measures route productivity.</w:t>
            </w:r>
          </w:p>
        </w:tc>
      </w:tr>
      <w:tr>
        <w:tc>
          <w:tcPr>
            <w:tcW w:type="dxa" w:w="5040"/>
            <w:vAlign w:val="center"/>
          </w:tcPr>
          <w:p>
            <w:r>
              <w:rPr>
                <w:sz w:val="17"/>
              </w:rPr>
              <w:t>Logistics Cost / kg</w:t>
            </w:r>
          </w:p>
        </w:tc>
        <w:tc>
          <w:tcPr>
            <w:tcW w:type="dxa" w:w="5040"/>
            <w:vAlign w:val="center"/>
          </w:tcPr>
          <w:p>
            <w:r>
              <w:rPr>
                <w:sz w:val="17"/>
              </w:rPr>
              <w:t>Controls reverse-logistics economics.</w:t>
            </w:r>
          </w:p>
        </w:tc>
      </w:tr>
      <w:tr>
        <w:tc>
          <w:tcPr>
            <w:tcW w:type="dxa" w:w="5040"/>
            <w:vAlign w:val="center"/>
          </w:tcPr>
          <w:p>
            <w:r>
              <w:rPr>
                <w:sz w:val="17"/>
              </w:rPr>
              <w:t>On-Time Collection %</w:t>
            </w:r>
          </w:p>
        </w:tc>
        <w:tc>
          <w:tcPr>
            <w:tcW w:type="dxa" w:w="5040"/>
            <w:vAlign w:val="center"/>
          </w:tcPr>
          <w:p>
            <w:r>
              <w:rPr>
                <w:sz w:val="17"/>
              </w:rPr>
              <w:t>Measures service reliability.</w:t>
            </w:r>
          </w:p>
        </w:tc>
      </w:tr>
      <w:tr>
        <w:tc>
          <w:tcPr>
            <w:tcW w:type="dxa" w:w="5040"/>
            <w:vAlign w:val="center"/>
          </w:tcPr>
          <w:p>
            <w:r>
              <w:rPr>
                <w:sz w:val="17"/>
              </w:rPr>
              <w:t>Contamination Rate</w:t>
            </w:r>
          </w:p>
        </w:tc>
        <w:tc>
          <w:tcPr>
            <w:tcW w:type="dxa" w:w="5040"/>
            <w:vAlign w:val="center"/>
          </w:tcPr>
          <w:p>
            <w:r>
              <w:rPr>
                <w:sz w:val="17"/>
              </w:rPr>
              <w:t>Controls input quality.</w:t>
            </w:r>
          </w:p>
        </w:tc>
      </w:tr>
      <w:tr>
        <w:tc>
          <w:tcPr>
            <w:tcW w:type="dxa" w:w="5040"/>
            <w:vAlign w:val="center"/>
          </w:tcPr>
          <w:p>
            <w:r>
              <w:rPr>
                <w:sz w:val="17"/>
              </w:rPr>
              <w:t>Recovery Yield</w:t>
            </w:r>
          </w:p>
        </w:tc>
        <w:tc>
          <w:tcPr>
            <w:tcW w:type="dxa" w:w="5040"/>
            <w:vAlign w:val="center"/>
          </w:tcPr>
          <w:p>
            <w:r>
              <w:rPr>
                <w:sz w:val="17"/>
              </w:rPr>
              <w:t>Measures recovered output relative to material entering processing.</w:t>
            </w:r>
          </w:p>
        </w:tc>
      </w:tr>
      <w:tr>
        <w:tc>
          <w:tcPr>
            <w:tcW w:type="dxa" w:w="5040"/>
            <w:vAlign w:val="center"/>
          </w:tcPr>
          <w:p>
            <w:r>
              <w:rPr>
                <w:sz w:val="17"/>
              </w:rPr>
              <w:t>Material Re-entry Rate</w:t>
            </w:r>
          </w:p>
        </w:tc>
        <w:tc>
          <w:tcPr>
            <w:tcW w:type="dxa" w:w="5040"/>
            <w:vAlign w:val="center"/>
          </w:tcPr>
          <w:p>
            <w:r>
              <w:rPr>
                <w:sz w:val="17"/>
              </w:rPr>
              <w:t>Measures whether recovered material reaches productive downstream use.</w:t>
            </w:r>
          </w:p>
        </w:tc>
      </w:tr>
    </w:tbl>
    <w:p>
      <w:pPr>
        <w:pStyle w:val="Heading1"/>
      </w:pPr>
      <w:r>
        <w:t>5. Triple Bottom Line Impact — Kritika</w:t>
      </w:r>
    </w:p>
    <w:p>
      <w:r>
        <w:t>Using John Elkington's Triple Bottom Line, MilkLoop is evaluated across People, Planet and Profit. The TBL layer converts circular operations into measurable outcomes and tests trade-offs.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0EBE1"/>
          </w:tcPr>
          <w:p>
            <w:r>
              <w:rPr>
                <w:b/>
                <w:sz w:val="18"/>
              </w:rPr>
              <w:t>Dimension</w:t>
            </w:r>
          </w:p>
        </w:tc>
        <w:tc>
          <w:tcPr>
            <w:tcW w:type="dxa" w:w="3360"/>
            <w:shd w:fill="E0EBE1"/>
          </w:tcPr>
          <w:p>
            <w:r>
              <w:rPr>
                <w:b/>
                <w:sz w:val="18"/>
              </w:rPr>
              <w:t>Outcome Areas</w:t>
            </w:r>
          </w:p>
        </w:tc>
        <w:tc>
          <w:tcPr>
            <w:tcW w:type="dxa" w:w="3360"/>
            <w:shd w:fill="E0EBE1"/>
          </w:tcPr>
          <w:p>
            <w:r>
              <w:rPr>
                <w:b/>
                <w:sz w:val="18"/>
              </w:rPr>
              <w:t>Core Measures</w:t>
            </w:r>
          </w:p>
        </w:tc>
      </w:tr>
      <w:tr>
        <w:tc>
          <w:tcPr>
            <w:tcW w:type="dxa" w:w="3360"/>
            <w:vAlign w:val="center"/>
          </w:tcPr>
          <w:p>
            <w:r>
              <w:rPr>
                <w:sz w:val="17"/>
              </w:rPr>
              <w:t>People</w:t>
            </w:r>
          </w:p>
        </w:tc>
        <w:tc>
          <w:tcPr>
            <w:tcW w:type="dxa" w:w="3360"/>
            <w:vAlign w:val="center"/>
          </w:tcPr>
          <w:p>
            <w:r>
              <w:rPr>
                <w:sz w:val="17"/>
              </w:rPr>
              <w:t>Collector participation, formalisation, payment transparency, safety, training</w:t>
            </w:r>
          </w:p>
        </w:tc>
        <w:tc>
          <w:tcPr>
            <w:tcW w:type="dxa" w:w="3360"/>
            <w:vAlign w:val="center"/>
          </w:tcPr>
          <w:p>
            <w:r>
              <w:rPr>
                <w:sz w:val="17"/>
              </w:rPr>
              <w:t>Active collectors; formalisation rate; digital transaction rate; safety compliance; training hours; payment regularity</w:t>
            </w:r>
          </w:p>
        </w:tc>
      </w:tr>
      <w:tr>
        <w:tc>
          <w:tcPr>
            <w:tcW w:type="dxa" w:w="3360"/>
            <w:vAlign w:val="center"/>
          </w:tcPr>
          <w:p>
            <w:r>
              <w:rPr>
                <w:sz w:val="17"/>
              </w:rPr>
              <w:t>Planet</w:t>
            </w:r>
          </w:p>
        </w:tc>
        <w:tc>
          <w:tcPr>
            <w:tcW w:type="dxa" w:w="3360"/>
            <w:vAlign w:val="center"/>
          </w:tcPr>
          <w:p>
            <w:r>
              <w:rPr>
                <w:sz w:val="17"/>
              </w:rPr>
              <w:t>Collection, processing, recovery, rejection/residuals, productive re-entry</w:t>
            </w:r>
          </w:p>
        </w:tc>
        <w:tc>
          <w:tcPr>
            <w:tcW w:type="dxa" w:w="3360"/>
            <w:vAlign w:val="center"/>
          </w:tcPr>
          <w:p>
            <w:r>
              <w:rPr>
                <w:sz w:val="17"/>
              </w:rPr>
              <w:t>Collection rate; processing rate; recovery rate/yield; rejection rate; verified recovered material; material re-entry</w:t>
            </w:r>
          </w:p>
        </w:tc>
      </w:tr>
      <w:tr>
        <w:tc>
          <w:tcPr>
            <w:tcW w:type="dxa" w:w="3360"/>
            <w:vAlign w:val="center"/>
          </w:tcPr>
          <w:p>
            <w:r>
              <w:rPr>
                <w:sz w:val="17"/>
              </w:rPr>
              <w:t>Profit</w:t>
            </w:r>
          </w:p>
        </w:tc>
        <w:tc>
          <w:tcPr>
            <w:tcW w:type="dxa" w:w="3360"/>
            <w:vAlign w:val="center"/>
          </w:tcPr>
          <w:p>
            <w:r>
              <w:rPr>
                <w:sz w:val="17"/>
              </w:rPr>
              <w:t>Revenue, costs, contribution and viability</w:t>
            </w:r>
          </w:p>
        </w:tc>
        <w:tc>
          <w:tcPr>
            <w:tcW w:type="dxa" w:w="3360"/>
            <w:vAlign w:val="center"/>
          </w:tcPr>
          <w:p>
            <w:r>
              <w:rPr>
                <w:sz w:val="17"/>
              </w:rPr>
              <w:t>Revenue/kg; operating cost/kg; contribution/kg; gross margin; break-even volume; service-revenue share</w:t>
            </w:r>
          </w:p>
        </w:tc>
      </w:tr>
    </w:tbl>
    <w:p>
      <w:pPr>
        <w:pStyle w:val="Heading2"/>
      </w:pPr>
      <w:r>
        <w:t>5.1 People Measurement</w:t>
      </w:r>
    </w:p>
    <w:p>
      <w:r>
        <w:t>The People dimension focuses on quality of participation, not merely worker count. Risks include unsafe handling, unfair or unpredictable payment, worker exclusion, inadequate PPE, child/forced-labour risk in the supply network, and excessive dependence on a single buyer.</w:t>
      </w:r>
    </w:p>
    <w:p>
      <w:pPr>
        <w:pStyle w:val="Heading2"/>
      </w:pPr>
      <w:r>
        <w:t>5.2 Planet Measurement</w:t>
      </w:r>
    </w:p>
    <w:p>
      <w:r>
        <w:t>The material journey distinguishes collection from actual recovery. The dashboard should record kilograms collected, sorted, processed, recovered and rejected/residual. Effective Recovery Rate is useful because it captures losses across the chain.</w:t>
      </w:r>
    </w:p>
    <w:p>
      <w:pPr>
        <w:pStyle w:val="Heading2"/>
      </w:pPr>
      <w:r>
        <w:t>5.3 Profit Measurement</w:t>
      </w:r>
    </w:p>
    <w:p>
      <w:r>
        <w:t>MilkLoop should not claim actual margins before pilot validation. Revenue/kg − Operating Cost/kg = Contribution/kg. Break-even volume = Fixed Costs ÷ Contribution/kg.</w:t>
      </w:r>
    </w:p>
    <w:p>
      <w:pPr>
        <w:pStyle w:val="Heading2"/>
      </w:pPr>
      <w:r>
        <w:t>5.4 TBL Decision Rule</w:t>
      </w:r>
    </w:p>
    <w:p>
      <w:r>
        <w:t>The circular model is not considered successful if profit improves by creating unacceptable social or environmental harm.</w:t>
      </w:r>
    </w:p>
    <w:p>
      <w:pPr>
        <w:pStyle w:val="Heading1"/>
      </w:pPr>
      <w:r>
        <w:t>6. Financial Business Model &amp; Trade-offs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0EBE1"/>
          </w:tcPr>
          <w:p>
            <w:r>
              <w:rPr>
                <w:b/>
                <w:sz w:val="18"/>
              </w:rPr>
              <w:t>Revenue Layer</w:t>
            </w:r>
          </w:p>
        </w:tc>
        <w:tc>
          <w:tcPr>
            <w:tcW w:type="dxa" w:w="3360"/>
            <w:shd w:fill="E0EBE1"/>
          </w:tcPr>
          <w:p>
            <w:r>
              <w:rPr>
                <w:b/>
                <w:sz w:val="18"/>
              </w:rPr>
              <w:t>Logic</w:t>
            </w:r>
          </w:p>
        </w:tc>
        <w:tc>
          <w:tcPr>
            <w:tcW w:type="dxa" w:w="3360"/>
            <w:shd w:fill="E0EBE1"/>
          </w:tcPr>
          <w:p>
            <w:r>
              <w:rPr>
                <w:b/>
                <w:sz w:val="18"/>
              </w:rPr>
              <w:t>Risk / Role</w:t>
            </w:r>
          </w:p>
        </w:tc>
      </w:tr>
      <w:tr>
        <w:tc>
          <w:tcPr>
            <w:tcW w:type="dxa" w:w="3360"/>
            <w:vAlign w:val="center"/>
          </w:tcPr>
          <w:p>
            <w:r>
              <w:rPr>
                <w:sz w:val="17"/>
              </w:rPr>
              <w:t>Service Revenue</w:t>
            </w:r>
          </w:p>
        </w:tc>
        <w:tc>
          <w:tcPr>
            <w:tcW w:type="dxa" w:w="3360"/>
            <w:vAlign w:val="center"/>
          </w:tcPr>
          <w:p>
            <w:r>
              <w:rPr>
                <w:sz w:val="17"/>
              </w:rPr>
              <w:t>Recovery support, traceability/reporting and sustainability data</w:t>
            </w:r>
          </w:p>
        </w:tc>
        <w:tc>
          <w:tcPr>
            <w:tcW w:type="dxa" w:w="3360"/>
            <w:vAlign w:val="center"/>
          </w:tcPr>
          <w:p>
            <w:r>
              <w:rPr>
                <w:sz w:val="17"/>
              </w:rPr>
              <w:t>Stability layer; recurring B2B relationship potential</w:t>
            </w:r>
          </w:p>
        </w:tc>
      </w:tr>
      <w:tr>
        <w:tc>
          <w:tcPr>
            <w:tcW w:type="dxa" w:w="3360"/>
            <w:vAlign w:val="center"/>
          </w:tcPr>
          <w:p>
            <w:r>
              <w:rPr>
                <w:sz w:val="17"/>
              </w:rPr>
              <w:t>Material Revenue</w:t>
            </w:r>
          </w:p>
        </w:tc>
        <w:tc>
          <w:tcPr>
            <w:tcW w:type="dxa" w:w="3360"/>
            <w:vAlign w:val="center"/>
          </w:tcPr>
          <w:p>
            <w:r>
              <w:rPr>
                <w:sz w:val="17"/>
              </w:rPr>
              <w:t>Value from processed/recovered LDPE in appropriate downstream applications</w:t>
            </w:r>
          </w:p>
        </w:tc>
        <w:tc>
          <w:tcPr>
            <w:tcW w:type="dxa" w:w="3360"/>
            <w:vAlign w:val="center"/>
          </w:tcPr>
          <w:p>
            <w:r>
              <w:rPr>
                <w:sz w:val="17"/>
              </w:rPr>
              <w:t>Additional upside; exposed to commodity-price movements</w:t>
            </w:r>
          </w:p>
        </w:tc>
      </w:tr>
    </w:tbl>
    <w:p>
      <w:pPr>
        <w:pStyle w:val="Heading2"/>
      </w:pPr>
      <w:r>
        <w:t>6.1 Key Trade-offs</w:t>
      </w:r>
    </w:p>
    <w:p>
      <w:pPr>
        <w:pStyle w:val="ListBullet"/>
        <w:spacing w:after="40"/>
      </w:pPr>
      <w:r>
        <w:t>Broader collection coverage can improve People and Planet outcomes but may increase transport cost when collection density is low.</w:t>
      </w:r>
    </w:p>
    <w:p>
      <w:pPr>
        <w:pStyle w:val="ListBullet"/>
        <w:spacing w:after="40"/>
      </w:pPr>
      <w:r>
        <w:t>Higher recovery can increase material value but may require stronger sorting and processing capability.</w:t>
      </w:r>
    </w:p>
    <w:p>
      <w:pPr>
        <w:pStyle w:val="ListBullet"/>
        <w:spacing w:after="40"/>
      </w:pPr>
      <w:r>
        <w:t>Service-led revenue can reduce dependence on volatile material prices.</w:t>
      </w:r>
    </w:p>
    <w:p>
      <w:pPr>
        <w:pStyle w:val="Heading2"/>
      </w:pPr>
      <w:r>
        <w:t>6.2 Validation Plan</w:t>
      </w:r>
    </w:p>
    <w:p>
      <w:pPr>
        <w:pStyle w:val="ListNumber"/>
        <w:spacing w:after="40"/>
      </w:pPr>
      <w:r>
        <w:t>Measure actual kilograms collected, sorted, processed, recovered and rejected during the pilot.</w:t>
      </w:r>
    </w:p>
    <w:p>
      <w:pPr>
        <w:pStyle w:val="ListNumber"/>
        <w:spacing w:after="40"/>
      </w:pPr>
      <w:r>
        <w:t>Record collection, transport, sorting and processing costs.</w:t>
      </w:r>
    </w:p>
    <w:p>
      <w:pPr>
        <w:pStyle w:val="ListNumber"/>
        <w:spacing w:after="40"/>
      </w:pPr>
      <w:r>
        <w:t>Record service revenue and realised downstream material value.</w:t>
      </w:r>
    </w:p>
    <w:p>
      <w:pPr>
        <w:pStyle w:val="ListNumber"/>
        <w:spacing w:after="40"/>
      </w:pPr>
      <w:r>
        <w:t>Calculate contribution/kg, gross margin and break-even volume.</w:t>
      </w:r>
    </w:p>
    <w:p>
      <w:pPr>
        <w:pStyle w:val="ListNumber"/>
        <w:spacing w:after="40"/>
      </w:pPr>
      <w:r>
        <w:t>Stress-test the model for different collection densities and material-price scenarios.</w:t>
      </w:r>
    </w:p>
    <w:p>
      <w:r>
        <w:t>No invented financial actuals should be inserted into the final submission.</w:t>
      </w:r>
    </w:p>
    <w:p>
      <w:pPr>
        <w:pStyle w:val="Heading1"/>
      </w:pPr>
      <w:r>
        <w:t>7. Governance, Regulatory &amp; Ethical Architecture — Piyush</w:t>
      </w:r>
    </w:p>
    <w:tbl>
      <w:tblPr>
        <w:tblStyle w:val="TableGrid"/>
        <w:tblW w:type="auto" w:w="0"/>
        <w:jc w:val="center"/>
        <w:tblLook w:firstColumn="1" w:firstRow="1" w:lastColumn="0" w:lastRow="0" w:noHBand="0" w:noVBand="1" w:val="04A0"/>
      </w:tblPr>
      <w:tblGrid>
        <w:gridCol w:w="5040"/>
        <w:gridCol w:w="5040"/>
      </w:tblGrid>
      <w:tr>
        <w:tc>
          <w:tcPr>
            <w:tcW w:type="dxa" w:w="5040"/>
            <w:shd w:fill="E0EBE1"/>
          </w:tcPr>
          <w:p>
            <w:r>
              <w:rPr>
                <w:b/>
                <w:sz w:val="18"/>
              </w:rPr>
              <w:t>Framework</w:t>
            </w:r>
          </w:p>
        </w:tc>
        <w:tc>
          <w:tcPr>
            <w:tcW w:type="dxa" w:w="5040"/>
            <w:shd w:fill="E0EBE1"/>
          </w:tcPr>
          <w:p>
            <w:r>
              <w:rPr>
                <w:b/>
                <w:sz w:val="18"/>
              </w:rPr>
              <w:t>MilkLoop Relevance</w:t>
            </w:r>
          </w:p>
        </w:tc>
      </w:tr>
      <w:tr>
        <w:tc>
          <w:tcPr>
            <w:tcW w:type="dxa" w:w="5040"/>
            <w:vAlign w:val="center"/>
          </w:tcPr>
          <w:p>
            <w:r>
              <w:rPr>
                <w:sz w:val="17"/>
              </w:rPr>
              <w:t>Plastic Waste Management Rules, 2016</w:t>
            </w:r>
          </w:p>
        </w:tc>
        <w:tc>
          <w:tcPr>
            <w:tcW w:type="dxa" w:w="5040"/>
            <w:vAlign w:val="center"/>
          </w:tcPr>
          <w:p>
            <w:r>
              <w:rPr>
                <w:sz w:val="17"/>
              </w:rPr>
              <w:t>Regulatory foundation for environmentally sound plastic-waste management.</w:t>
            </w:r>
          </w:p>
        </w:tc>
      </w:tr>
      <w:tr>
        <w:tc>
          <w:tcPr>
            <w:tcW w:type="dxa" w:w="5040"/>
            <w:vAlign w:val="center"/>
          </w:tcPr>
          <w:p>
            <w:r>
              <w:rPr>
                <w:sz w:val="17"/>
              </w:rPr>
              <w:t>EPR Guidelines for Plastic Packaging</w:t>
            </w:r>
          </w:p>
        </w:tc>
        <w:tc>
          <w:tcPr>
            <w:tcW w:type="dxa" w:w="5040"/>
            <w:vAlign w:val="center"/>
          </w:tcPr>
          <w:p>
            <w:r>
              <w:rPr>
                <w:sz w:val="17"/>
              </w:rPr>
              <w:t>Recovery/recycling and management framework applicable to relevant Producers, Importers and Brand Owners and registered ecosystem actors.</w:t>
            </w:r>
          </w:p>
        </w:tc>
      </w:tr>
      <w:tr>
        <w:tc>
          <w:tcPr>
            <w:tcW w:type="dxa" w:w="5040"/>
            <w:vAlign w:val="center"/>
          </w:tcPr>
          <w:p>
            <w:r>
              <w:rPr>
                <w:sz w:val="17"/>
              </w:rPr>
              <w:t>CPCB Common EPR Portal</w:t>
            </w:r>
          </w:p>
        </w:tc>
        <w:tc>
          <w:tcPr>
            <w:tcW w:type="dxa" w:w="5040"/>
            <w:vAlign w:val="center"/>
          </w:tcPr>
          <w:p>
            <w:r>
              <w:rPr>
                <w:sz w:val="17"/>
              </w:rPr>
              <w:t>Registration/tracking/reporting infrastructure for applicable entities; MilkLoop can provide structured supporting evidence but cannot substitute for statutory registration.</w:t>
            </w:r>
          </w:p>
        </w:tc>
      </w:tr>
      <w:tr>
        <w:tc>
          <w:tcPr>
            <w:tcW w:type="dxa" w:w="5040"/>
            <w:vAlign w:val="center"/>
          </w:tcPr>
          <w:p>
            <w:r>
              <w:rPr>
                <w:sz w:val="17"/>
              </w:rPr>
              <w:t>NGRBC</w:t>
            </w:r>
          </w:p>
        </w:tc>
        <w:tc>
          <w:tcPr>
            <w:tcW w:type="dxa" w:w="5040"/>
            <w:vAlign w:val="center"/>
          </w:tcPr>
          <w:p>
            <w:r>
              <w:rPr>
                <w:sz w:val="17"/>
              </w:rPr>
              <w:t>Responsible-business lens covering ethics, environment, stakeholders and governance.</w:t>
            </w:r>
          </w:p>
        </w:tc>
      </w:tr>
      <w:tr>
        <w:tc>
          <w:tcPr>
            <w:tcW w:type="dxa" w:w="5040"/>
            <w:vAlign w:val="center"/>
          </w:tcPr>
          <w:p>
            <w:r>
              <w:rPr>
                <w:sz w:val="17"/>
              </w:rPr>
              <w:t>SEBI BRSR / BRSR Core</w:t>
            </w:r>
          </w:p>
        </w:tc>
        <w:tc>
          <w:tcPr>
            <w:tcW w:type="dxa" w:w="5040"/>
            <w:vAlign w:val="center"/>
          </w:tcPr>
          <w:p>
            <w:r>
              <w:rPr>
                <w:sz w:val="17"/>
              </w:rPr>
              <w:t>Relevant reporting context for applicable listed entities; MilkLoop can create reporting-ready data where relevant, but is not a universal BRSR obligation/provider.</w:t>
            </w:r>
          </w:p>
        </w:tc>
      </w:tr>
      <w:tr>
        <w:tc>
          <w:tcPr>
            <w:tcW w:type="dxa" w:w="5040"/>
            <w:vAlign w:val="center"/>
          </w:tcPr>
          <w:p>
            <w:r>
              <w:rPr>
                <w:sz w:val="17"/>
              </w:rPr>
              <w:t>Companies Act, 2013 — Section 135</w:t>
            </w:r>
          </w:p>
        </w:tc>
        <w:tc>
          <w:tcPr>
            <w:tcW w:type="dxa" w:w="5040"/>
            <w:vAlign w:val="center"/>
          </w:tcPr>
          <w:p>
            <w:r>
              <w:rPr>
                <w:sz w:val="17"/>
              </w:rPr>
              <w:t>CSR relevance for qualifying companies; potential partnership/impact-program opportunity rather than MilkLoop's core EPR mandate.</w:t>
            </w:r>
          </w:p>
        </w:tc>
      </w:tr>
    </w:tbl>
    <w:p>
      <w:pPr>
        <w:pStyle w:val="Heading2"/>
      </w:pPr>
      <w:r>
        <w:t>7.1 Regulatory Boundary</w:t>
      </w:r>
    </w:p>
    <w:p>
      <w:r>
        <w:t>The correct formulation is: “MilkLoop supports applicable EPR-related recovery, traceability and reporting requirements.” The project must not say that MilkLoop takes over EPR liability or universally ensures EPR compliance. Statutory responsibility remains with the relevant obligated entity.</w:t>
      </w:r>
    </w:p>
    <w:p>
      <w:pPr>
        <w:pStyle w:val="Heading2"/>
      </w:pPr>
      <w:r>
        <w:t>7.2 Chain of Custody</w:t>
      </w:r>
    </w:p>
    <w:p>
      <w:r>
        <w:t>Collection → Digital Weighment → Unique Batch ID → Aggregation &amp; Movement → Processor Verification → Mass-Balance Reconciliation → Audit Trail → Client Reporting.</w:t>
      </w:r>
    </w:p>
    <w:p>
      <w:pPr>
        <w:pStyle w:val="Heading2"/>
      </w:pPr>
      <w:r>
        <w:t>7.3 Governance Controls</w:t>
      </w:r>
    </w:p>
    <w:tbl>
      <w:tblPr>
        <w:tblStyle w:val="TableGrid"/>
        <w:tblW w:type="auto" w:w="0"/>
        <w:jc w:val="center"/>
        <w:tblLook w:firstColumn="1" w:firstRow="1" w:lastColumn="0" w:lastRow="0" w:noHBand="0" w:noVBand="1" w:val="04A0"/>
      </w:tblPr>
      <w:tblGrid>
        <w:gridCol w:w="5040"/>
        <w:gridCol w:w="5040"/>
      </w:tblGrid>
      <w:tr>
        <w:tc>
          <w:tcPr>
            <w:tcW w:type="dxa" w:w="5040"/>
            <w:shd w:fill="E0EBE1"/>
          </w:tcPr>
          <w:p>
            <w:r>
              <w:rPr>
                <w:b/>
                <w:sz w:val="18"/>
              </w:rPr>
              <w:t>Risk</w:t>
            </w:r>
          </w:p>
        </w:tc>
        <w:tc>
          <w:tcPr>
            <w:tcW w:type="dxa" w:w="5040"/>
            <w:shd w:fill="E0EBE1"/>
          </w:tcPr>
          <w:p>
            <w:r>
              <w:rPr>
                <w:b/>
                <w:sz w:val="18"/>
              </w:rPr>
              <w:t>Control</w:t>
            </w:r>
          </w:p>
        </w:tc>
      </w:tr>
      <w:tr>
        <w:tc>
          <w:tcPr>
            <w:tcW w:type="dxa" w:w="5040"/>
            <w:vAlign w:val="center"/>
          </w:tcPr>
          <w:p>
            <w:r>
              <w:rPr>
                <w:sz w:val="17"/>
              </w:rPr>
              <w:t>False recovery claims</w:t>
            </w:r>
          </w:p>
        </w:tc>
        <w:tc>
          <w:tcPr>
            <w:tcW w:type="dxa" w:w="5040"/>
            <w:vAlign w:val="center"/>
          </w:tcPr>
          <w:p>
            <w:r>
              <w:rPr>
                <w:sz w:val="17"/>
              </w:rPr>
              <w:t>Weighment and processing evidence</w:t>
            </w:r>
          </w:p>
        </w:tc>
      </w:tr>
      <w:tr>
        <w:tc>
          <w:tcPr>
            <w:tcW w:type="dxa" w:w="5040"/>
            <w:vAlign w:val="center"/>
          </w:tcPr>
          <w:p>
            <w:r>
              <w:rPr>
                <w:sz w:val="17"/>
              </w:rPr>
              <w:t>Double counting</w:t>
            </w:r>
          </w:p>
        </w:tc>
        <w:tc>
          <w:tcPr>
            <w:tcW w:type="dxa" w:w="5040"/>
            <w:vAlign w:val="center"/>
          </w:tcPr>
          <w:p>
            <w:r>
              <w:rPr>
                <w:sz w:val="17"/>
              </w:rPr>
              <w:t>Unique batch IDs and reconciliation</w:t>
            </w:r>
          </w:p>
        </w:tc>
      </w:tr>
      <w:tr>
        <w:tc>
          <w:tcPr>
            <w:tcW w:type="dxa" w:w="5040"/>
            <w:vAlign w:val="center"/>
          </w:tcPr>
          <w:p>
            <w:r>
              <w:rPr>
                <w:sz w:val="17"/>
              </w:rPr>
              <w:t>Unsupported processing</w:t>
            </w:r>
          </w:p>
        </w:tc>
        <w:tc>
          <w:tcPr>
            <w:tcW w:type="dxa" w:w="5040"/>
            <w:vAlign w:val="center"/>
          </w:tcPr>
          <w:p>
            <w:r>
              <w:rPr>
                <w:sz w:val="17"/>
              </w:rPr>
              <w:t>Processor due diligence and verification</w:t>
            </w:r>
          </w:p>
        </w:tc>
      </w:tr>
      <w:tr>
        <w:tc>
          <w:tcPr>
            <w:tcW w:type="dxa" w:w="5040"/>
            <w:vAlign w:val="center"/>
          </w:tcPr>
          <w:p>
            <w:r>
              <w:rPr>
                <w:sz w:val="17"/>
              </w:rPr>
              <w:t>Data manipulation</w:t>
            </w:r>
          </w:p>
        </w:tc>
        <w:tc>
          <w:tcPr>
            <w:tcW w:type="dxa" w:w="5040"/>
            <w:vAlign w:val="center"/>
          </w:tcPr>
          <w:p>
            <w:r>
              <w:rPr>
                <w:sz w:val="17"/>
              </w:rPr>
              <w:t>Audit trail, access control and reconciliation</w:t>
            </w:r>
          </w:p>
        </w:tc>
      </w:tr>
      <w:tr>
        <w:tc>
          <w:tcPr>
            <w:tcW w:type="dxa" w:w="5040"/>
            <w:vAlign w:val="center"/>
          </w:tcPr>
          <w:p>
            <w:r>
              <w:rPr>
                <w:sz w:val="17"/>
              </w:rPr>
              <w:t>Greenwashing</w:t>
            </w:r>
          </w:p>
        </w:tc>
        <w:tc>
          <w:tcPr>
            <w:tcW w:type="dxa" w:w="5040"/>
            <w:vAlign w:val="center"/>
          </w:tcPr>
          <w:p>
            <w:r>
              <w:rPr>
                <w:sz w:val="17"/>
              </w:rPr>
              <w:t>Evidence-before-claim discipline</w:t>
            </w:r>
          </w:p>
        </w:tc>
      </w:tr>
      <w:tr>
        <w:tc>
          <w:tcPr>
            <w:tcW w:type="dxa" w:w="5040"/>
            <w:vAlign w:val="center"/>
          </w:tcPr>
          <w:p>
            <w:r>
              <w:rPr>
                <w:sz w:val="17"/>
              </w:rPr>
              <w:t>Worker exploitation</w:t>
            </w:r>
          </w:p>
        </w:tc>
        <w:tc>
          <w:tcPr>
            <w:tcW w:type="dxa" w:w="5040"/>
            <w:vAlign w:val="center"/>
          </w:tcPr>
          <w:p>
            <w:r>
              <w:rPr>
                <w:sz w:val="17"/>
              </w:rPr>
              <w:t>Fair-payment, safety and partner controls</w:t>
            </w:r>
          </w:p>
        </w:tc>
      </w:tr>
      <w:tr>
        <w:tc>
          <w:tcPr>
            <w:tcW w:type="dxa" w:w="5040"/>
            <w:vAlign w:val="center"/>
          </w:tcPr>
          <w:p>
            <w:r>
              <w:rPr>
                <w:sz w:val="17"/>
              </w:rPr>
              <w:t>Contamination</w:t>
            </w:r>
          </w:p>
        </w:tc>
        <w:tc>
          <w:tcPr>
            <w:tcW w:type="dxa" w:w="5040"/>
            <w:vAlign w:val="center"/>
          </w:tcPr>
          <w:p>
            <w:r>
              <w:rPr>
                <w:sz w:val="17"/>
              </w:rPr>
              <w:t>Sorting and quality checks; contaminated quantities are not automatically called recycled</w:t>
            </w:r>
          </w:p>
        </w:tc>
      </w:tr>
    </w:tbl>
    <w:p>
      <w:r>
        <w:t>Core governance principle: No sustainability claim without supporting evidence.</w:t>
      </w:r>
    </w:p>
    <w:p>
      <w:pPr>
        <w:pStyle w:val="Heading1"/>
      </w:pPr>
      <w:r>
        <w:t>8. Stakeholder Engagement &amp; Creating Shared Value — Vanshika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0EBE1"/>
          </w:tcPr>
          <w:p>
            <w:r>
              <w:rPr>
                <w:b/>
                <w:sz w:val="18"/>
              </w:rPr>
              <w:t>Stakeholder</w:t>
            </w:r>
          </w:p>
        </w:tc>
        <w:tc>
          <w:tcPr>
            <w:tcW w:type="dxa" w:w="3360"/>
            <w:shd w:fill="E0EBE1"/>
          </w:tcPr>
          <w:p>
            <w:r>
              <w:rPr>
                <w:b/>
                <w:sz w:val="18"/>
              </w:rPr>
              <w:t>Contribution</w:t>
            </w:r>
          </w:p>
        </w:tc>
        <w:tc>
          <w:tcPr>
            <w:tcW w:type="dxa" w:w="3360"/>
            <w:shd w:fill="E0EBE1"/>
          </w:tcPr>
          <w:p>
            <w:r>
              <w:rPr>
                <w:b/>
                <w:sz w:val="18"/>
              </w:rPr>
              <w:t>Value / Participation Logic</w:t>
            </w:r>
          </w:p>
        </w:tc>
      </w:tr>
      <w:tr>
        <w:tc>
          <w:tcPr>
            <w:tcW w:type="dxa" w:w="3360"/>
            <w:vAlign w:val="center"/>
          </w:tcPr>
          <w:p>
            <w:r>
              <w:rPr>
                <w:sz w:val="17"/>
              </w:rPr>
              <w:t>Dairy companies</w:t>
            </w:r>
          </w:p>
        </w:tc>
        <w:tc>
          <w:tcPr>
            <w:tcW w:type="dxa" w:w="3360"/>
            <w:vAlign w:val="center"/>
          </w:tcPr>
          <w:p>
            <w:r>
              <w:rPr>
                <w:sz w:val="17"/>
              </w:rPr>
              <w:t>Packaging ecosystem access, commercial partnership, recovery demand</w:t>
            </w:r>
          </w:p>
        </w:tc>
        <w:tc>
          <w:tcPr>
            <w:tcW w:type="dxa" w:w="3360"/>
            <w:vAlign w:val="center"/>
          </w:tcPr>
          <w:p>
            <w:r>
              <w:rPr>
                <w:sz w:val="17"/>
              </w:rPr>
              <w:t>Organised recovery, traceability and reporting-ready evidence; willingness to pay must be validated in pilot.</w:t>
            </w:r>
          </w:p>
        </w:tc>
      </w:tr>
      <w:tr>
        <w:tc>
          <w:tcPr>
            <w:tcW w:type="dxa" w:w="3360"/>
            <w:vAlign w:val="center"/>
          </w:tcPr>
          <w:p>
            <w:r>
              <w:rPr>
                <w:sz w:val="17"/>
              </w:rPr>
              <w:t>Kabadiwalas / collectors</w:t>
            </w:r>
          </w:p>
        </w:tc>
        <w:tc>
          <w:tcPr>
            <w:tcW w:type="dxa" w:w="3360"/>
            <w:vAlign w:val="center"/>
          </w:tcPr>
          <w:p>
            <w:r>
              <w:rPr>
                <w:sz w:val="17"/>
              </w:rPr>
              <w:t>Collection and aggregation</w:t>
            </w:r>
          </w:p>
        </w:tc>
        <w:tc>
          <w:tcPr>
            <w:tcW w:type="dxa" w:w="3360"/>
            <w:vAlign w:val="center"/>
          </w:tcPr>
          <w:p>
            <w:r>
              <w:rPr>
                <w:sz w:val="17"/>
              </w:rPr>
              <w:t>Assured buyer, predictable demand and transparent payment; pricing should not exploit bargaining power.</w:t>
            </w:r>
          </w:p>
        </w:tc>
      </w:tr>
      <w:tr>
        <w:tc>
          <w:tcPr>
            <w:tcW w:type="dxa" w:w="3360"/>
            <w:vAlign w:val="center"/>
          </w:tcPr>
          <w:p>
            <w:r>
              <w:rPr>
                <w:sz w:val="17"/>
              </w:rPr>
              <w:t>RWAs / housing societies</w:t>
            </w:r>
          </w:p>
        </w:tc>
        <w:tc>
          <w:tcPr>
            <w:tcW w:type="dxa" w:w="3360"/>
            <w:vAlign w:val="center"/>
          </w:tcPr>
          <w:p>
            <w:r>
              <w:rPr>
                <w:sz w:val="17"/>
              </w:rPr>
              <w:t>Household access and collection locations</w:t>
            </w:r>
          </w:p>
        </w:tc>
        <w:tc>
          <w:tcPr>
            <w:tcW w:type="dxa" w:w="3360"/>
            <w:vAlign w:val="center"/>
          </w:tcPr>
          <w:p>
            <w:r>
              <w:rPr>
                <w:sz w:val="17"/>
              </w:rPr>
              <w:t>Convenient collection, waste-diversion information and community recognition.</w:t>
            </w:r>
          </w:p>
        </w:tc>
      </w:tr>
      <w:tr>
        <w:tc>
          <w:tcPr>
            <w:tcW w:type="dxa" w:w="3360"/>
            <w:vAlign w:val="center"/>
          </w:tcPr>
          <w:p>
            <w:r>
              <w:rPr>
                <w:sz w:val="17"/>
              </w:rPr>
              <w:t>MRFs</w:t>
            </w:r>
          </w:p>
        </w:tc>
        <w:tc>
          <w:tcPr>
            <w:tcW w:type="dxa" w:w="3360"/>
            <w:vAlign w:val="center"/>
          </w:tcPr>
          <w:p>
            <w:r>
              <w:rPr>
                <w:sz w:val="17"/>
              </w:rPr>
              <w:t>Sorting and aggregation capacity</w:t>
            </w:r>
          </w:p>
        </w:tc>
        <w:tc>
          <w:tcPr>
            <w:tcW w:type="dxa" w:w="3360"/>
            <w:vAlign w:val="center"/>
          </w:tcPr>
          <w:p>
            <w:r>
              <w:rPr>
                <w:sz w:val="17"/>
              </w:rPr>
              <w:t>Additional material flow and organised downstream buyer.</w:t>
            </w:r>
          </w:p>
        </w:tc>
      </w:tr>
      <w:tr>
        <w:tc>
          <w:tcPr>
            <w:tcW w:type="dxa" w:w="3360"/>
            <w:vAlign w:val="center"/>
          </w:tcPr>
          <w:p>
            <w:r>
              <w:rPr>
                <w:sz w:val="17"/>
              </w:rPr>
              <w:t>Recyclers / processors</w:t>
            </w:r>
          </w:p>
        </w:tc>
        <w:tc>
          <w:tcPr>
            <w:tcW w:type="dxa" w:w="3360"/>
            <w:vAlign w:val="center"/>
          </w:tcPr>
          <w:p>
            <w:r>
              <w:rPr>
                <w:sz w:val="17"/>
              </w:rPr>
              <w:t>Processing capacity</w:t>
            </w:r>
          </w:p>
        </w:tc>
        <w:tc>
          <w:tcPr>
            <w:tcW w:type="dxa" w:w="3360"/>
            <w:vAlign w:val="center"/>
          </w:tcPr>
          <w:p>
            <w:r>
              <w:rPr>
                <w:sz w:val="17"/>
              </w:rPr>
              <w:t>More predictable feedstock and clearer material traceability.</w:t>
            </w:r>
          </w:p>
        </w:tc>
      </w:tr>
      <w:tr>
        <w:tc>
          <w:tcPr>
            <w:tcW w:type="dxa" w:w="3360"/>
            <w:vAlign w:val="center"/>
          </w:tcPr>
          <w:p>
            <w:r>
              <w:rPr>
                <w:sz w:val="17"/>
              </w:rPr>
              <w:t>Consumers</w:t>
            </w:r>
          </w:p>
        </w:tc>
        <w:tc>
          <w:tcPr>
            <w:tcW w:type="dxa" w:w="3360"/>
            <w:vAlign w:val="center"/>
          </w:tcPr>
          <w:p>
            <w:r>
              <w:rPr>
                <w:sz w:val="17"/>
              </w:rPr>
              <w:t>Used pouches and participation</w:t>
            </w:r>
          </w:p>
        </w:tc>
        <w:tc>
          <w:tcPr>
            <w:tcW w:type="dxa" w:w="3360"/>
            <w:vAlign w:val="center"/>
          </w:tcPr>
          <w:p>
            <w:r>
              <w:rPr>
                <w:sz w:val="17"/>
              </w:rPr>
              <w:t>Low-friction disposal, potential incentives and visible evidence of impact.</w:t>
            </w:r>
          </w:p>
        </w:tc>
      </w:tr>
      <w:tr>
        <w:tc>
          <w:tcPr>
            <w:tcW w:type="dxa" w:w="3360"/>
            <w:vAlign w:val="center"/>
          </w:tcPr>
          <w:p>
            <w:r>
              <w:rPr>
                <w:sz w:val="17"/>
              </w:rPr>
              <w:t>MilkLoop</w:t>
            </w:r>
          </w:p>
        </w:tc>
        <w:tc>
          <w:tcPr>
            <w:tcW w:type="dxa" w:w="3360"/>
            <w:vAlign w:val="center"/>
          </w:tcPr>
          <w:p>
            <w:r>
              <w:rPr>
                <w:sz w:val="17"/>
              </w:rPr>
              <w:t>Coordination, contracts, traceability and stakeholder management</w:t>
            </w:r>
          </w:p>
        </w:tc>
        <w:tc>
          <w:tcPr>
            <w:tcW w:type="dxa" w:w="3360"/>
            <w:vAlign w:val="center"/>
          </w:tcPr>
          <w:p>
            <w:r>
              <w:rPr>
                <w:sz w:val="17"/>
              </w:rPr>
              <w:t>Recurring B2B relationships, network density and aggregation capability.</w:t>
            </w:r>
          </w:p>
        </w:tc>
      </w:tr>
    </w:tbl>
    <w:p>
      <w:pPr>
        <w:pStyle w:val="Heading2"/>
      </w:pPr>
      <w:r>
        <w:t>8.1 Meaningful Engagement</w:t>
      </w:r>
    </w:p>
    <w:p>
      <w:r>
        <w:t>Stakeholder engagement should be two-way, ongoing and connected to actual decisions. Proposed mechanisms include quarterly stakeholder reviews, consumer/RWA feedback, collector and recycler feedback, a simple grievance/escalation channel, and documented changes made because of stakeholder input.</w:t>
      </w:r>
    </w:p>
    <w:p>
      <w:pPr>
        <w:pStyle w:val="Heading2"/>
      </w:pPr>
      <w:r>
        <w:t>8.2 CSV Logic</w:t>
      </w:r>
    </w:p>
    <w:p>
      <w:r>
        <w:t>Environmental problem → Stakeholder participation → Organised material recovery → Verified circular material → Circular packaging service value + material value → Recurring commercial relationships.</w:t>
      </w:r>
    </w:p>
    <w:p>
      <w:pPr>
        <w:pStyle w:val="Heading1"/>
      </w:pPr>
      <w:r>
        <w:t>9. Integrated Operating &amp; Evidence Dashboard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0EBE1"/>
          </w:tcPr>
          <w:p>
            <w:r>
              <w:rPr>
                <w:b/>
                <w:sz w:val="18"/>
              </w:rPr>
              <w:t>Layer</w:t>
            </w:r>
          </w:p>
        </w:tc>
        <w:tc>
          <w:tcPr>
            <w:tcW w:type="dxa" w:w="2520"/>
            <w:shd w:fill="E0EBE1"/>
          </w:tcPr>
          <w:p>
            <w:r>
              <w:rPr>
                <w:b/>
                <w:sz w:val="18"/>
              </w:rPr>
              <w:t>Example KPIs</w:t>
            </w:r>
          </w:p>
        </w:tc>
        <w:tc>
          <w:tcPr>
            <w:tcW w:type="dxa" w:w="2520"/>
            <w:shd w:fill="E0EBE1"/>
          </w:tcPr>
          <w:p>
            <w:r>
              <w:rPr>
                <w:b/>
                <w:sz w:val="18"/>
              </w:rPr>
              <w:t>Evidence Source</w:t>
            </w:r>
          </w:p>
        </w:tc>
        <w:tc>
          <w:tcPr>
            <w:tcW w:type="dxa" w:w="2520"/>
            <w:shd w:fill="E0EBE1"/>
          </w:tcPr>
          <w:p>
            <w:r>
              <w:rPr>
                <w:b/>
                <w:sz w:val="18"/>
              </w:rPr>
              <w:t>Primary Owner</w:t>
            </w:r>
          </w:p>
        </w:tc>
      </w:tr>
      <w:tr>
        <w:tc>
          <w:tcPr>
            <w:tcW w:type="dxa" w:w="2520"/>
            <w:vAlign w:val="center"/>
          </w:tcPr>
          <w:p>
            <w:r>
              <w:rPr>
                <w:sz w:val="17"/>
              </w:rPr>
              <w:t>Physical</w:t>
            </w:r>
          </w:p>
        </w:tc>
        <w:tc>
          <w:tcPr>
            <w:tcW w:type="dxa" w:w="2520"/>
            <w:vAlign w:val="center"/>
          </w:tcPr>
          <w:p>
            <w:r>
              <w:rPr>
                <w:sz w:val="17"/>
              </w:rPr>
              <w:t>kg collected/sorted/processed/recovered/rejected</w:t>
            </w:r>
          </w:p>
        </w:tc>
        <w:tc>
          <w:tcPr>
            <w:tcW w:type="dxa" w:w="2520"/>
            <w:vAlign w:val="center"/>
          </w:tcPr>
          <w:p>
            <w:r>
              <w:rPr>
                <w:sz w:val="17"/>
              </w:rPr>
              <w:t>Weighment, sorting and processor records</w:t>
            </w:r>
          </w:p>
        </w:tc>
        <w:tc>
          <w:tcPr>
            <w:tcW w:type="dxa" w:w="2520"/>
            <w:vAlign w:val="center"/>
          </w:tcPr>
          <w:p>
            <w:r>
              <w:rPr>
                <w:sz w:val="17"/>
              </w:rPr>
              <w:t>Shivam / Kritika</w:t>
            </w:r>
          </w:p>
        </w:tc>
      </w:tr>
      <w:tr>
        <w:tc>
          <w:tcPr>
            <w:tcW w:type="dxa" w:w="2520"/>
            <w:vAlign w:val="center"/>
          </w:tcPr>
          <w:p>
            <w:r>
              <w:rPr>
                <w:sz w:val="17"/>
              </w:rPr>
              <w:t>Social</w:t>
            </w:r>
          </w:p>
        </w:tc>
        <w:tc>
          <w:tcPr>
            <w:tcW w:type="dxa" w:w="2520"/>
            <w:vAlign w:val="center"/>
          </w:tcPr>
          <w:p>
            <w:r>
              <w:rPr>
                <w:sz w:val="17"/>
              </w:rPr>
              <w:t>Active collectors, formalisation, digital transactions, safety, training, payment regularity</w:t>
            </w:r>
          </w:p>
        </w:tc>
        <w:tc>
          <w:tcPr>
            <w:tcW w:type="dxa" w:w="2520"/>
            <w:vAlign w:val="center"/>
          </w:tcPr>
          <w:p>
            <w:r>
              <w:rPr>
                <w:sz w:val="17"/>
              </w:rPr>
              <w:t>Partner database, payment records, field audits</w:t>
            </w:r>
          </w:p>
        </w:tc>
        <w:tc>
          <w:tcPr>
            <w:tcW w:type="dxa" w:w="2520"/>
            <w:vAlign w:val="center"/>
          </w:tcPr>
          <w:p>
            <w:r>
              <w:rPr>
                <w:sz w:val="17"/>
              </w:rPr>
              <w:t>Kritika / Vanshika</w:t>
            </w:r>
          </w:p>
        </w:tc>
      </w:tr>
      <w:tr>
        <w:tc>
          <w:tcPr>
            <w:tcW w:type="dxa" w:w="2520"/>
            <w:vAlign w:val="center"/>
          </w:tcPr>
          <w:p>
            <w:r>
              <w:rPr>
                <w:sz w:val="17"/>
              </w:rPr>
              <w:t>Financial</w:t>
            </w:r>
          </w:p>
        </w:tc>
        <w:tc>
          <w:tcPr>
            <w:tcW w:type="dxa" w:w="2520"/>
            <w:vAlign w:val="center"/>
          </w:tcPr>
          <w:p>
            <w:r>
              <w:rPr>
                <w:sz w:val="17"/>
              </w:rPr>
              <w:t>Revenue/kg, cost/kg, contribution/kg, gross margin</w:t>
            </w:r>
          </w:p>
        </w:tc>
        <w:tc>
          <w:tcPr>
            <w:tcW w:type="dxa" w:w="2520"/>
            <w:vAlign w:val="center"/>
          </w:tcPr>
          <w:p>
            <w:r>
              <w:rPr>
                <w:sz w:val="17"/>
              </w:rPr>
              <w:t>Finance records</w:t>
            </w:r>
          </w:p>
        </w:tc>
        <w:tc>
          <w:tcPr>
            <w:tcW w:type="dxa" w:w="2520"/>
            <w:vAlign w:val="center"/>
          </w:tcPr>
          <w:p>
            <w:r>
              <w:rPr>
                <w:sz w:val="17"/>
              </w:rPr>
              <w:t>Kritika</w:t>
            </w:r>
          </w:p>
        </w:tc>
      </w:tr>
      <w:tr>
        <w:tc>
          <w:tcPr>
            <w:tcW w:type="dxa" w:w="2520"/>
            <w:vAlign w:val="center"/>
          </w:tcPr>
          <w:p>
            <w:r>
              <w:rPr>
                <w:sz w:val="17"/>
              </w:rPr>
              <w:t>Governance</w:t>
            </w:r>
          </w:p>
        </w:tc>
        <w:tc>
          <w:tcPr>
            <w:tcW w:type="dxa" w:w="2520"/>
            <w:vAlign w:val="center"/>
          </w:tcPr>
          <w:p>
            <w:r>
              <w:rPr>
                <w:sz w:val="17"/>
              </w:rPr>
              <w:t>Batch IDs, movement records, processor verification, reconciliation</w:t>
            </w:r>
          </w:p>
        </w:tc>
        <w:tc>
          <w:tcPr>
            <w:tcW w:type="dxa" w:w="2520"/>
            <w:vAlign w:val="center"/>
          </w:tcPr>
          <w:p>
            <w:r>
              <w:rPr>
                <w:sz w:val="17"/>
              </w:rPr>
              <w:t>Governance records</w:t>
            </w:r>
          </w:p>
        </w:tc>
        <w:tc>
          <w:tcPr>
            <w:tcW w:type="dxa" w:w="2520"/>
            <w:vAlign w:val="center"/>
          </w:tcPr>
          <w:p>
            <w:r>
              <w:rPr>
                <w:sz w:val="17"/>
              </w:rPr>
              <w:t>Piyush</w:t>
            </w:r>
          </w:p>
        </w:tc>
      </w:tr>
      <w:tr>
        <w:tc>
          <w:tcPr>
            <w:tcW w:type="dxa" w:w="2520"/>
            <w:vAlign w:val="center"/>
          </w:tcPr>
          <w:p>
            <w:r>
              <w:rPr>
                <w:sz w:val="17"/>
              </w:rPr>
              <w:t>Stakeholder</w:t>
            </w:r>
          </w:p>
        </w:tc>
        <w:tc>
          <w:tcPr>
            <w:tcW w:type="dxa" w:w="2520"/>
            <w:vAlign w:val="center"/>
          </w:tcPr>
          <w:p>
            <w:r>
              <w:rPr>
                <w:sz w:val="17"/>
              </w:rPr>
              <w:t>Participation, retention, feedback, grievance closure</w:t>
            </w:r>
          </w:p>
        </w:tc>
        <w:tc>
          <w:tcPr>
            <w:tcW w:type="dxa" w:w="2520"/>
            <w:vAlign w:val="center"/>
          </w:tcPr>
          <w:p>
            <w:r>
              <w:rPr>
                <w:sz w:val="17"/>
              </w:rPr>
              <w:t>Stakeholder engagement records</w:t>
            </w:r>
          </w:p>
        </w:tc>
        <w:tc>
          <w:tcPr>
            <w:tcW w:type="dxa" w:w="2520"/>
            <w:vAlign w:val="center"/>
          </w:tcPr>
          <w:p>
            <w:r>
              <w:rPr>
                <w:sz w:val="17"/>
              </w:rPr>
              <w:t>Vanshika</w:t>
            </w:r>
          </w:p>
        </w:tc>
      </w:tr>
    </w:tbl>
    <w:p>
      <w:pPr>
        <w:pStyle w:val="Heading2"/>
      </w:pPr>
      <w:r>
        <w:t>9.1 Baseline → Target → Actual</w:t>
      </w:r>
    </w:p>
    <w:p>
      <w:r>
        <w:t>Baseline describes the existing fragmented system and evidence gaps. Target states the proposed performance ambition. Actual records measured pilot performance. Until pilot data exist, future values must be labelled proposed targets, scenarios or projections.</w:t>
      </w:r>
    </w:p>
    <w:p>
      <w:pPr>
        <w:pStyle w:val="Heading1"/>
      </w:pPr>
      <w:r>
        <w:t>10. Academic Framework Integration</w:t>
      </w:r>
    </w:p>
    <w:tbl>
      <w:tblPr>
        <w:tblStyle w:val="TableGrid"/>
        <w:tblW w:type="auto" w:w="0"/>
        <w:jc w:val="center"/>
        <w:tblLook w:firstColumn="1" w:firstRow="1" w:lastColumn="0" w:lastRow="0" w:noHBand="0" w:noVBand="1" w:val="04A0"/>
      </w:tblPr>
      <w:tblGrid>
        <w:gridCol w:w="5040"/>
        <w:gridCol w:w="5040"/>
      </w:tblGrid>
      <w:tr>
        <w:tc>
          <w:tcPr>
            <w:tcW w:type="dxa" w:w="5040"/>
            <w:shd w:fill="E0EBE1"/>
          </w:tcPr>
          <w:p>
            <w:r>
              <w:rPr>
                <w:b/>
                <w:sz w:val="18"/>
              </w:rPr>
              <w:t>Framework / Author</w:t>
            </w:r>
          </w:p>
        </w:tc>
        <w:tc>
          <w:tcPr>
            <w:tcW w:type="dxa" w:w="5040"/>
            <w:shd w:fill="E0EBE1"/>
          </w:tcPr>
          <w:p>
            <w:r>
              <w:rPr>
                <w:b/>
                <w:sz w:val="18"/>
              </w:rPr>
              <w:t>Application in MilkLoop</w:t>
            </w:r>
          </w:p>
        </w:tc>
      </w:tr>
      <w:tr>
        <w:tc>
          <w:tcPr>
            <w:tcW w:type="dxa" w:w="5040"/>
            <w:vAlign w:val="center"/>
          </w:tcPr>
          <w:p>
            <w:r>
              <w:rPr>
                <w:sz w:val="17"/>
              </w:rPr>
              <w:t>Crane &amp; Matten (2016)</w:t>
            </w:r>
          </w:p>
        </w:tc>
        <w:tc>
          <w:tcPr>
            <w:tcW w:type="dxa" w:w="5040"/>
            <w:vAlign w:val="center"/>
          </w:tcPr>
          <w:p>
            <w:r>
              <w:rPr>
                <w:sz w:val="17"/>
              </w:rPr>
              <w:t>Business ethics, externalities, responsibility and ethical analysis of the existing linear system.</w:t>
            </w:r>
          </w:p>
        </w:tc>
      </w:tr>
      <w:tr>
        <w:tc>
          <w:tcPr>
            <w:tcW w:type="dxa" w:w="5040"/>
            <w:vAlign w:val="center"/>
          </w:tcPr>
          <w:p>
            <w:r>
              <w:rPr>
                <w:sz w:val="17"/>
              </w:rPr>
              <w:t>Elkington (1997)</w:t>
            </w:r>
          </w:p>
        </w:tc>
        <w:tc>
          <w:tcPr>
            <w:tcW w:type="dxa" w:w="5040"/>
            <w:vAlign w:val="center"/>
          </w:tcPr>
          <w:p>
            <w:r>
              <w:rPr>
                <w:sz w:val="17"/>
              </w:rPr>
              <w:t>Triple Bottom Line: People, Planet and Profit.</w:t>
            </w:r>
          </w:p>
        </w:tc>
      </w:tr>
      <w:tr>
        <w:tc>
          <w:tcPr>
            <w:tcW w:type="dxa" w:w="5040"/>
            <w:vAlign w:val="center"/>
          </w:tcPr>
          <w:p>
            <w:r>
              <w:rPr>
                <w:sz w:val="17"/>
              </w:rPr>
              <w:t>Egels-Zandén (2007)</w:t>
            </w:r>
          </w:p>
        </w:tc>
        <w:tc>
          <w:tcPr>
            <w:tcW w:type="dxa" w:w="5040"/>
            <w:vAlign w:val="center"/>
          </w:tcPr>
          <w:p>
            <w:r>
              <w:rPr>
                <w:sz w:val="17"/>
              </w:rPr>
              <w:t>Responsible supply-chain thinking and supplier/partner standards.</w:t>
            </w:r>
          </w:p>
        </w:tc>
      </w:tr>
      <w:tr>
        <w:tc>
          <w:tcPr>
            <w:tcW w:type="dxa" w:w="5040"/>
            <w:vAlign w:val="center"/>
          </w:tcPr>
          <w:p>
            <w:r>
              <w:rPr>
                <w:sz w:val="17"/>
              </w:rPr>
              <w:t>NGRBC (2019)</w:t>
            </w:r>
          </w:p>
        </w:tc>
        <w:tc>
          <w:tcPr>
            <w:tcW w:type="dxa" w:w="5040"/>
            <w:vAlign w:val="center"/>
          </w:tcPr>
          <w:p>
            <w:r>
              <w:rPr>
                <w:sz w:val="17"/>
              </w:rPr>
              <w:t>Responsible business conduct and governance lens.</w:t>
            </w:r>
          </w:p>
        </w:tc>
      </w:tr>
      <w:tr>
        <w:tc>
          <w:tcPr>
            <w:tcW w:type="dxa" w:w="5040"/>
            <w:vAlign w:val="center"/>
          </w:tcPr>
          <w:p>
            <w:r>
              <w:rPr>
                <w:sz w:val="17"/>
              </w:rPr>
              <w:t>Companies Act, 2013 — Section 135</w:t>
            </w:r>
          </w:p>
        </w:tc>
        <w:tc>
          <w:tcPr>
            <w:tcW w:type="dxa" w:w="5040"/>
            <w:vAlign w:val="center"/>
          </w:tcPr>
          <w:p>
            <w:r>
              <w:rPr>
                <w:sz w:val="17"/>
              </w:rPr>
              <w:t>CSR relevance for qualifying companies and potential impact partnerships.</w:t>
            </w:r>
          </w:p>
        </w:tc>
      </w:tr>
      <w:tr>
        <w:tc>
          <w:tcPr>
            <w:tcW w:type="dxa" w:w="5040"/>
            <w:vAlign w:val="center"/>
          </w:tcPr>
          <w:p>
            <w:r>
              <w:rPr>
                <w:sz w:val="17"/>
              </w:rPr>
              <w:t>Stakeholder Theory</w:t>
            </w:r>
          </w:p>
        </w:tc>
        <w:tc>
          <w:tcPr>
            <w:tcW w:type="dxa" w:w="5040"/>
            <w:vAlign w:val="center"/>
          </w:tcPr>
          <w:p>
            <w:r>
              <w:rPr>
                <w:sz w:val="17"/>
              </w:rPr>
              <w:t>Identifies stakeholders, their interests and reasons for participation.</w:t>
            </w:r>
          </w:p>
        </w:tc>
      </w:tr>
      <w:tr>
        <w:tc>
          <w:tcPr>
            <w:tcW w:type="dxa" w:w="5040"/>
            <w:vAlign w:val="center"/>
          </w:tcPr>
          <w:p>
            <w:r>
              <w:rPr>
                <w:sz w:val="17"/>
              </w:rPr>
              <w:t>Porter &amp; Kramer (2011)</w:t>
            </w:r>
          </w:p>
        </w:tc>
        <w:tc>
          <w:tcPr>
            <w:tcW w:type="dxa" w:w="5040"/>
            <w:vAlign w:val="center"/>
          </w:tcPr>
          <w:p>
            <w:r>
              <w:rPr>
                <w:sz w:val="17"/>
              </w:rPr>
              <w:t>Creating Shared Value: linking social/environmental needs with competitive business value.</w:t>
            </w:r>
          </w:p>
        </w:tc>
      </w:tr>
    </w:tbl>
    <w:p>
      <w:pPr>
        <w:pStyle w:val="Heading2"/>
      </w:pPr>
      <w:r>
        <w:t>10.1 Synthesis Funnel</w:t>
      </w:r>
    </w:p>
    <w:p>
      <w:r>
        <w:t>Stakeholder Theory → Circular Economy Operations → Triple Bottom Line → Governance &amp; Evidence → Creating Shared Value → Viable Circular Business Model.</w:t>
      </w:r>
    </w:p>
    <w:p>
      <w:pPr>
        <w:pStyle w:val="Heading1"/>
      </w:pPr>
      <w:r>
        <w:t>11. Final Business Model Proposition</w:t>
      </w:r>
    </w:p>
    <w:p>
      <w:r>
        <w:t>MilkLoop is a Circular Milk Packaging System that redesigns the conventional milk-pouch system around design-for-recyclability, a defined take-back pathway, reverse logistics, verified material recovery and traceable downstream use. It coordinates an existing ecosystem rather than claiming ownership of every collection or recycling asset.</w:t>
      </w:r>
    </w:p>
    <w:p>
      <w:pPr>
        <w:pStyle w:val="Heading2"/>
      </w:pPr>
      <w:r>
        <w:t>11.1 Value Proposition</w:t>
      </w:r>
    </w:p>
    <w:p>
      <w:pPr>
        <w:pStyle w:val="ListBullet"/>
        <w:spacing w:after="40"/>
      </w:pPr>
      <w:r>
        <w:t>For dairy/brand owners: organised recovery, traceability and reporting-ready evidence.</w:t>
      </w:r>
    </w:p>
    <w:p>
      <w:pPr>
        <w:pStyle w:val="ListBullet"/>
        <w:spacing w:after="40"/>
      </w:pPr>
      <w:r>
        <w:t>For collectors: predictable demand, transparent payment and more organised working arrangements.</w:t>
      </w:r>
    </w:p>
    <w:p>
      <w:pPr>
        <w:pStyle w:val="ListBullet"/>
        <w:spacing w:after="40"/>
      </w:pPr>
      <w:r>
        <w:t>For communities/RWAs: convenient return infrastructure.</w:t>
      </w:r>
    </w:p>
    <w:p>
      <w:pPr>
        <w:pStyle w:val="ListBullet"/>
        <w:spacing w:after="40"/>
      </w:pPr>
      <w:r>
        <w:t>For MRFs and processors: predictable material flow and clearer traceability.</w:t>
      </w:r>
    </w:p>
    <w:p>
      <w:pPr>
        <w:pStyle w:val="ListBullet"/>
        <w:spacing w:after="40"/>
      </w:pPr>
      <w:r>
        <w:t>For consumers: low-friction disposal and visible participation.</w:t>
      </w:r>
    </w:p>
    <w:p>
      <w:pPr>
        <w:pStyle w:val="Heading2"/>
      </w:pPr>
      <w:r>
        <w:t>11.2 Business Model</w:t>
      </w:r>
    </w:p>
    <w:p>
      <w:r>
        <w:t>Service revenue is the stability layer. Recovered-material value is additional upside. Governance and traceability create customer confidence and support recurring B2B relationships.</w:t>
      </w:r>
    </w:p>
    <w:p>
      <w:pPr>
        <w:pStyle w:val="Heading2"/>
      </w:pPr>
      <w:r>
        <w:t>11.3 Potential Competitive Moat</w:t>
      </w:r>
    </w:p>
    <w:p>
      <w:pPr>
        <w:pStyle w:val="ListBullet"/>
        <w:spacing w:after="40"/>
      </w:pPr>
      <w:r>
        <w:t>Network density across collection channels.</w:t>
      </w:r>
    </w:p>
    <w:p>
      <w:pPr>
        <w:pStyle w:val="ListBullet"/>
        <w:spacing w:after="40"/>
      </w:pPr>
      <w:r>
        <w:t>Verified relationships with processing partners.</w:t>
      </w:r>
    </w:p>
    <w:p>
      <w:pPr>
        <w:pStyle w:val="ListBullet"/>
        <w:spacing w:after="40"/>
      </w:pPr>
      <w:r>
        <w:t>Transaction-level material traceability.</w:t>
      </w:r>
    </w:p>
    <w:p>
      <w:pPr>
        <w:pStyle w:val="ListBullet"/>
        <w:spacing w:after="40"/>
      </w:pPr>
      <w:r>
        <w:t>Operational data that improves routing, recovery and reporting.</w:t>
      </w:r>
    </w:p>
    <w:p>
      <w:pPr>
        <w:pStyle w:val="ListBullet"/>
        <w:spacing w:after="40"/>
      </w:pPr>
      <w:r>
        <w:t>Integration of packaging design, reverse logistics, stakeholder participation and governance evidence.</w:t>
      </w:r>
    </w:p>
    <w:p>
      <w:pPr>
        <w:pStyle w:val="Heading1"/>
      </w:pPr>
      <w:r>
        <w:t>12. Boardroom Challenge &amp; Defence</w:t>
      </w:r>
    </w:p>
    <w:tbl>
      <w:tblPr>
        <w:tblStyle w:val="TableGrid"/>
        <w:tblW w:type="auto" w:w="0"/>
        <w:jc w:val="center"/>
        <w:tblLook w:firstColumn="1" w:firstRow="1" w:lastColumn="0" w:lastRow="0" w:noHBand="0" w:noVBand="1" w:val="04A0"/>
      </w:tblPr>
      <w:tblGrid>
        <w:gridCol w:w="5040"/>
        <w:gridCol w:w="5040"/>
      </w:tblGrid>
      <w:tr>
        <w:tc>
          <w:tcPr>
            <w:tcW w:type="dxa" w:w="5040"/>
            <w:shd w:fill="E0EBE1"/>
          </w:tcPr>
          <w:p>
            <w:r>
              <w:rPr>
                <w:b/>
                <w:sz w:val="18"/>
              </w:rPr>
              <w:t>Question</w:t>
            </w:r>
          </w:p>
        </w:tc>
        <w:tc>
          <w:tcPr>
            <w:tcW w:type="dxa" w:w="5040"/>
            <w:shd w:fill="E0EBE1"/>
          </w:tcPr>
          <w:p>
            <w:r>
              <w:rPr>
                <w:b/>
                <w:sz w:val="18"/>
              </w:rPr>
              <w:t>Defensible Answer</w:t>
            </w:r>
          </w:p>
        </w:tc>
      </w:tr>
      <w:tr>
        <w:tc>
          <w:tcPr>
            <w:tcW w:type="dxa" w:w="5040"/>
            <w:vAlign w:val="center"/>
          </w:tcPr>
          <w:p>
            <w:r>
              <w:rPr>
                <w:sz w:val="17"/>
              </w:rPr>
              <w:t>Why would a dairy company pay MilkLoop if legal responsibility remains with it?</w:t>
            </w:r>
          </w:p>
        </w:tc>
        <w:tc>
          <w:tcPr>
            <w:tcW w:type="dxa" w:w="5040"/>
            <w:vAlign w:val="center"/>
          </w:tcPr>
          <w:p>
            <w:r>
              <w:rPr>
                <w:sz w:val="17"/>
              </w:rPr>
              <w:t>Statutory responsibility and operational capability are different. MilkLoop provides fragmented collection, traceability, processing verification and evidence infrastructure needed to execute and demonstrate applicable recovery obligations more reliably.</w:t>
            </w:r>
          </w:p>
        </w:tc>
      </w:tr>
      <w:tr>
        <w:tc>
          <w:tcPr>
            <w:tcW w:type="dxa" w:w="5040"/>
            <w:vAlign w:val="center"/>
          </w:tcPr>
          <w:p>
            <w:r>
              <w:rPr>
                <w:sz w:val="17"/>
              </w:rPr>
              <w:t>Does MilkLoop take over EPR liability?</w:t>
            </w:r>
          </w:p>
        </w:tc>
        <w:tc>
          <w:tcPr>
            <w:tcW w:type="dxa" w:w="5040"/>
            <w:vAlign w:val="center"/>
          </w:tcPr>
          <w:p>
            <w:r>
              <w:rPr>
                <w:sz w:val="17"/>
              </w:rPr>
              <w:t>No. The relevant obligated entity retains applicable statutory responsibility. MilkLoop supports recovery, traceability and reporting processes.</w:t>
            </w:r>
          </w:p>
        </w:tc>
      </w:tr>
      <w:tr>
        <w:tc>
          <w:tcPr>
            <w:tcW w:type="dxa" w:w="5040"/>
            <w:vAlign w:val="center"/>
          </w:tcPr>
          <w:p>
            <w:r>
              <w:rPr>
                <w:sz w:val="17"/>
              </w:rPr>
              <w:t>How do you prove collected plastic was actually recycled?</w:t>
            </w:r>
          </w:p>
        </w:tc>
        <w:tc>
          <w:tcPr>
            <w:tcW w:type="dxa" w:w="5040"/>
            <w:vAlign w:val="center"/>
          </w:tcPr>
          <w:p>
            <w:r>
              <w:rPr>
                <w:sz w:val="17"/>
              </w:rPr>
              <w:t>Use weighment, unique batch IDs, movement records, processor evidence and mass-balance reconciliation. Unsupported quantities are excluded from reported recovery claims.</w:t>
            </w:r>
          </w:p>
        </w:tc>
      </w:tr>
      <w:tr>
        <w:tc>
          <w:tcPr>
            <w:tcW w:type="dxa" w:w="5040"/>
            <w:vAlign w:val="center"/>
          </w:tcPr>
          <w:p>
            <w:r>
              <w:rPr>
                <w:sz w:val="17"/>
              </w:rPr>
              <w:t>How do you prevent double counting?</w:t>
            </w:r>
          </w:p>
        </w:tc>
        <w:tc>
          <w:tcPr>
            <w:tcW w:type="dxa" w:w="5040"/>
            <w:vAlign w:val="center"/>
          </w:tcPr>
          <w:p>
            <w:r>
              <w:rPr>
                <w:sz w:val="17"/>
              </w:rPr>
              <w:t>Assign unique batch identifiers and reconcile quantities across collection, movement, processing, recovery and rejects.</w:t>
            </w:r>
          </w:p>
        </w:tc>
      </w:tr>
      <w:tr>
        <w:tc>
          <w:tcPr>
            <w:tcW w:type="dxa" w:w="5040"/>
            <w:vAlign w:val="center"/>
          </w:tcPr>
          <w:p>
            <w:r>
              <w:rPr>
                <w:sz w:val="17"/>
              </w:rPr>
              <w:t>What if a recycler provides false data?</w:t>
            </w:r>
          </w:p>
        </w:tc>
        <w:tc>
          <w:tcPr>
            <w:tcW w:type="dxa" w:w="5040"/>
            <w:vAlign w:val="center"/>
          </w:tcPr>
          <w:p>
            <w:r>
              <w:rPr>
                <w:sz w:val="17"/>
              </w:rPr>
              <w:t>Use partner due diligence, documentary evidence, batch traceability, reconciliation and periodic audits. Unsupported quantities are not claimed.</w:t>
            </w:r>
          </w:p>
        </w:tc>
      </w:tr>
      <w:tr>
        <w:tc>
          <w:tcPr>
            <w:tcW w:type="dxa" w:w="5040"/>
            <w:vAlign w:val="center"/>
          </w:tcPr>
          <w:p>
            <w:r>
              <w:rPr>
                <w:sz w:val="17"/>
              </w:rPr>
              <w:t>Is collection the same as recycling?</w:t>
            </w:r>
          </w:p>
        </w:tc>
        <w:tc>
          <w:tcPr>
            <w:tcW w:type="dxa" w:w="5040"/>
            <w:vAlign w:val="center"/>
          </w:tcPr>
          <w:p>
            <w:r>
              <w:rPr>
                <w:sz w:val="17"/>
              </w:rPr>
              <w:t>No. Collection is the first stage. Processing and actual recovery are measured separately.</w:t>
            </w:r>
          </w:p>
        </w:tc>
      </w:tr>
      <w:tr>
        <w:tc>
          <w:tcPr>
            <w:tcW w:type="dxa" w:w="5040"/>
            <w:vAlign w:val="center"/>
          </w:tcPr>
          <w:p>
            <w:r>
              <w:rPr>
                <w:sz w:val="17"/>
              </w:rPr>
              <w:t>Why would kabadiwalas cooperate?</w:t>
            </w:r>
          </w:p>
        </w:tc>
        <w:tc>
          <w:tcPr>
            <w:tcW w:type="dxa" w:w="5040"/>
            <w:vAlign w:val="center"/>
          </w:tcPr>
          <w:p>
            <w:r>
              <w:rPr>
                <w:sz w:val="17"/>
              </w:rPr>
              <w:t>The model offers predictable demand, transparent payment and organised arrangements while avoiding displacement of the existing informal ecosystem.</w:t>
            </w:r>
          </w:p>
        </w:tc>
      </w:tr>
      <w:tr>
        <w:tc>
          <w:tcPr>
            <w:tcW w:type="dxa" w:w="5040"/>
            <w:vAlign w:val="center"/>
          </w:tcPr>
          <w:p>
            <w:r>
              <w:rPr>
                <w:sz w:val="17"/>
              </w:rPr>
              <w:t>Do you claim pouch-to-pouch recycling?</w:t>
            </w:r>
          </w:p>
        </w:tc>
        <w:tc>
          <w:tcPr>
            <w:tcW w:type="dxa" w:w="5040"/>
            <w:vAlign w:val="center"/>
          </w:tcPr>
          <w:p>
            <w:r>
              <w:rPr>
                <w:sz w:val="17"/>
              </w:rPr>
              <w:t>Not as an automatic outcome. Downstream use depends on technical and regulatory validation; Phase 1 focuses on appropriate approved applications.</w:t>
            </w:r>
          </w:p>
        </w:tc>
      </w:tr>
      <w:tr>
        <w:tc>
          <w:tcPr>
            <w:tcW w:type="dxa" w:w="5040"/>
            <w:vAlign w:val="center"/>
          </w:tcPr>
          <w:p>
            <w:r>
              <w:rPr>
                <w:sz w:val="17"/>
              </w:rPr>
              <w:t>Do you have actual financial results?</w:t>
            </w:r>
          </w:p>
        </w:tc>
        <w:tc>
          <w:tcPr>
            <w:tcW w:type="dxa" w:w="5040"/>
            <w:vAlign w:val="center"/>
          </w:tcPr>
          <w:p>
            <w:r>
              <w:rPr>
                <w:sz w:val="17"/>
              </w:rPr>
              <w:t>Not yet. DQ1 establishes the financial architecture and variables. Pilot data will validate cost, revenue, contribution and break-even.</w:t>
            </w:r>
          </w:p>
        </w:tc>
      </w:tr>
      <w:tr>
        <w:tc>
          <w:tcPr>
            <w:tcW w:type="dxa" w:w="5040"/>
            <w:vAlign w:val="center"/>
          </w:tcPr>
          <w:p>
            <w:r>
              <w:rPr>
                <w:sz w:val="17"/>
              </w:rPr>
              <w:t>What makes MilkLoop more than a waste-management company?</w:t>
            </w:r>
          </w:p>
        </w:tc>
        <w:tc>
          <w:tcPr>
            <w:tcW w:type="dxa" w:w="5040"/>
            <w:vAlign w:val="center"/>
          </w:tcPr>
          <w:p>
            <w:r>
              <w:rPr>
                <w:sz w:val="17"/>
              </w:rPr>
              <w:t>It integrates packaging design-for-circularity with take-back, reverse logistics, material traceability, processing verification, stakeholder coordination and reporting-ready evidence.</w:t>
            </w:r>
          </w:p>
        </w:tc>
      </w:tr>
      <w:tr>
        <w:tc>
          <w:tcPr>
            <w:tcW w:type="dxa" w:w="5040"/>
            <w:vAlign w:val="center"/>
          </w:tcPr>
          <w:p>
            <w:r>
              <w:rPr>
                <w:sz w:val="17"/>
              </w:rPr>
              <w:t>How do you avoid greenwashing?</w:t>
            </w:r>
          </w:p>
        </w:tc>
        <w:tc>
          <w:tcPr>
            <w:tcW w:type="dxa" w:w="5040"/>
            <w:vAlign w:val="center"/>
          </w:tcPr>
          <w:p>
            <w:r>
              <w:rPr>
                <w:sz w:val="17"/>
              </w:rPr>
              <w:t>Evidence-before-claim: every circularity statement must be supported by a verifiable material and documentary trail.</w:t>
            </w:r>
          </w:p>
        </w:tc>
      </w:tr>
    </w:tbl>
    <w:p>
      <w:pPr>
        <w:pStyle w:val="Heading1"/>
      </w:pPr>
      <w:r>
        <w:t>13. Final Team Presentation Architecture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0EBE1"/>
          </w:tcPr>
          <w:p>
            <w:r>
              <w:rPr>
                <w:b/>
                <w:sz w:val="18"/>
              </w:rPr>
              <w:t>Slide</w:t>
            </w:r>
          </w:p>
        </w:tc>
        <w:tc>
          <w:tcPr>
            <w:tcW w:type="dxa" w:w="2520"/>
            <w:shd w:fill="E0EBE1"/>
          </w:tcPr>
          <w:p>
            <w:r>
              <w:rPr>
                <w:b/>
                <w:sz w:val="18"/>
              </w:rPr>
              <w:t>Title</w:t>
            </w:r>
          </w:p>
        </w:tc>
        <w:tc>
          <w:tcPr>
            <w:tcW w:type="dxa" w:w="2520"/>
            <w:shd w:fill="E0EBE1"/>
          </w:tcPr>
          <w:p>
            <w:r>
              <w:rPr>
                <w:b/>
                <w:sz w:val="18"/>
              </w:rPr>
              <w:t>Purpose</w:t>
            </w:r>
          </w:p>
        </w:tc>
        <w:tc>
          <w:tcPr>
            <w:tcW w:type="dxa" w:w="2520"/>
            <w:shd w:fill="E0EBE1"/>
          </w:tcPr>
          <w:p>
            <w:r>
              <w:rPr>
                <w:b/>
                <w:sz w:val="18"/>
              </w:rPr>
              <w:t>Lead</w:t>
            </w:r>
          </w:p>
        </w:tc>
      </w:tr>
      <w:tr>
        <w:tc>
          <w:tcPr>
            <w:tcW w:type="dxa" w:w="2520"/>
            <w:vAlign w:val="center"/>
          </w:tcPr>
          <w:p>
            <w:r>
              <w:rPr>
                <w:sz w:val="17"/>
              </w:rPr>
              <w:t>1</w:t>
            </w:r>
          </w:p>
        </w:tc>
        <w:tc>
          <w:tcPr>
            <w:tcW w:type="dxa" w:w="2520"/>
            <w:vAlign w:val="center"/>
          </w:tcPr>
          <w:p>
            <w:r>
              <w:rPr>
                <w:sz w:val="17"/>
              </w:rPr>
              <w:t>Cover</w:t>
            </w:r>
          </w:p>
        </w:tc>
        <w:tc>
          <w:tcPr>
            <w:tcW w:type="dxa" w:w="2520"/>
            <w:vAlign w:val="center"/>
          </w:tcPr>
          <w:p>
            <w:r>
              <w:rPr>
                <w:sz w:val="17"/>
              </w:rPr>
              <w:t>MilkLoop — Transforming Milk Packaging into a Circular Business Model</w:t>
            </w:r>
          </w:p>
        </w:tc>
        <w:tc>
          <w:tcPr>
            <w:tcW w:type="dxa" w:w="2520"/>
            <w:vAlign w:val="center"/>
          </w:tcPr>
          <w:p>
            <w:r>
              <w:rPr>
                <w:sz w:val="17"/>
              </w:rPr>
              <w:t>All</w:t>
            </w:r>
          </w:p>
        </w:tc>
      </w:tr>
      <w:tr>
        <w:tc>
          <w:tcPr>
            <w:tcW w:type="dxa" w:w="2520"/>
            <w:vAlign w:val="center"/>
          </w:tcPr>
          <w:p>
            <w:r>
              <w:rPr>
                <w:sz w:val="17"/>
              </w:rPr>
              <w:t>2</w:t>
            </w:r>
          </w:p>
        </w:tc>
        <w:tc>
          <w:tcPr>
            <w:tcW w:type="dxa" w:w="2520"/>
            <w:vAlign w:val="center"/>
          </w:tcPr>
          <w:p>
            <w:r>
              <w:rPr>
                <w:sz w:val="17"/>
              </w:rPr>
              <w:t>The Linear Milk-Pouch Problem</w:t>
            </w:r>
          </w:p>
        </w:tc>
        <w:tc>
          <w:tcPr>
            <w:tcW w:type="dxa" w:w="2520"/>
            <w:vAlign w:val="center"/>
          </w:tcPr>
          <w:p>
            <w:r>
              <w:rPr>
                <w:sz w:val="17"/>
              </w:rPr>
              <w:t>Current lifecycle, externalities, fragmented recovery and evidence gap</w:t>
            </w:r>
          </w:p>
        </w:tc>
        <w:tc>
          <w:tcPr>
            <w:tcW w:type="dxa" w:w="2520"/>
            <w:vAlign w:val="center"/>
          </w:tcPr>
          <w:p>
            <w:r>
              <w:rPr>
                <w:sz w:val="17"/>
              </w:rPr>
              <w:t>Vishal</w:t>
            </w:r>
          </w:p>
        </w:tc>
      </w:tr>
      <w:tr>
        <w:tc>
          <w:tcPr>
            <w:tcW w:type="dxa" w:w="2520"/>
            <w:vAlign w:val="center"/>
          </w:tcPr>
          <w:p>
            <w:r>
              <w:rPr>
                <w:sz w:val="17"/>
              </w:rPr>
              <w:t>3</w:t>
            </w:r>
          </w:p>
        </w:tc>
        <w:tc>
          <w:tcPr>
            <w:tcW w:type="dxa" w:w="2520"/>
            <w:vAlign w:val="center"/>
          </w:tcPr>
          <w:p>
            <w:r>
              <w:rPr>
                <w:sz w:val="17"/>
              </w:rPr>
              <w:t>From Disposable Pouch to Circular Packaging Asset</w:t>
            </w:r>
          </w:p>
        </w:tc>
        <w:tc>
          <w:tcPr>
            <w:tcW w:type="dxa" w:w="2520"/>
            <w:vAlign w:val="center"/>
          </w:tcPr>
          <w:p>
            <w:r>
              <w:rPr>
                <w:sz w:val="17"/>
              </w:rPr>
              <w:t>Packaging redesign and design-for-circularity principles</w:t>
            </w:r>
          </w:p>
        </w:tc>
        <w:tc>
          <w:tcPr>
            <w:tcW w:type="dxa" w:w="2520"/>
            <w:vAlign w:val="center"/>
          </w:tcPr>
          <w:p>
            <w:r>
              <w:rPr>
                <w:sz w:val="17"/>
              </w:rPr>
              <w:t>Vishal</w:t>
            </w:r>
          </w:p>
        </w:tc>
      </w:tr>
      <w:tr>
        <w:tc>
          <w:tcPr>
            <w:tcW w:type="dxa" w:w="2520"/>
            <w:vAlign w:val="center"/>
          </w:tcPr>
          <w:p>
            <w:r>
              <w:rPr>
                <w:sz w:val="17"/>
              </w:rPr>
              <w:t>4</w:t>
            </w:r>
          </w:p>
        </w:tc>
        <w:tc>
          <w:tcPr>
            <w:tcW w:type="dxa" w:w="2520"/>
            <w:vAlign w:val="center"/>
          </w:tcPr>
          <w:p>
            <w:r>
              <w:rPr>
                <w:sz w:val="17"/>
              </w:rPr>
              <w:t>MilkLoop Closed-Loop Operating System</w:t>
            </w:r>
          </w:p>
        </w:tc>
        <w:tc>
          <w:tcPr>
            <w:tcW w:type="dxa" w:w="2520"/>
            <w:vAlign w:val="center"/>
          </w:tcPr>
          <w:p>
            <w:r>
              <w:rPr>
                <w:sz w:val="17"/>
              </w:rPr>
              <w:t>Collection, aggregation, sorting, verification and productive re-entry</w:t>
            </w:r>
          </w:p>
        </w:tc>
        <w:tc>
          <w:tcPr>
            <w:tcW w:type="dxa" w:w="2520"/>
            <w:vAlign w:val="center"/>
          </w:tcPr>
          <w:p>
            <w:r>
              <w:rPr>
                <w:sz w:val="17"/>
              </w:rPr>
              <w:t>Shivam</w:t>
            </w:r>
          </w:p>
        </w:tc>
      </w:tr>
      <w:tr>
        <w:tc>
          <w:tcPr>
            <w:tcW w:type="dxa" w:w="2520"/>
            <w:vAlign w:val="center"/>
          </w:tcPr>
          <w:p>
            <w:r>
              <w:rPr>
                <w:sz w:val="17"/>
              </w:rPr>
              <w:t>5</w:t>
            </w:r>
          </w:p>
        </w:tc>
        <w:tc>
          <w:tcPr>
            <w:tcW w:type="dxa" w:w="2520"/>
            <w:vAlign w:val="center"/>
          </w:tcPr>
          <w:p>
            <w:r>
              <w:rPr>
                <w:sz w:val="17"/>
              </w:rPr>
              <w:t>Reverse Logistics That Protects the Margin</w:t>
            </w:r>
          </w:p>
        </w:tc>
        <w:tc>
          <w:tcPr>
            <w:tcW w:type="dxa" w:w="2520"/>
            <w:vAlign w:val="center"/>
          </w:tcPr>
          <w:p>
            <w:r>
              <w:rPr>
                <w:sz w:val="17"/>
              </w:rPr>
              <w:t>Cluster, aggregate, consolidate, route and process</w:t>
            </w:r>
          </w:p>
        </w:tc>
        <w:tc>
          <w:tcPr>
            <w:tcW w:type="dxa" w:w="2520"/>
            <w:vAlign w:val="center"/>
          </w:tcPr>
          <w:p>
            <w:r>
              <w:rPr>
                <w:sz w:val="17"/>
              </w:rPr>
              <w:t>Shivam</w:t>
            </w:r>
          </w:p>
        </w:tc>
      </w:tr>
      <w:tr>
        <w:tc>
          <w:tcPr>
            <w:tcW w:type="dxa" w:w="2520"/>
            <w:vAlign w:val="center"/>
          </w:tcPr>
          <w:p>
            <w:r>
              <w:rPr>
                <w:sz w:val="17"/>
              </w:rPr>
              <w:t>6</w:t>
            </w:r>
          </w:p>
        </w:tc>
        <w:tc>
          <w:tcPr>
            <w:tcW w:type="dxa" w:w="2520"/>
            <w:vAlign w:val="center"/>
          </w:tcPr>
          <w:p>
            <w:r>
              <w:rPr>
                <w:sz w:val="17"/>
              </w:rPr>
              <w:t>Triple Bottom Line: Does the Redesign Create Value?</w:t>
            </w:r>
          </w:p>
        </w:tc>
        <w:tc>
          <w:tcPr>
            <w:tcW w:type="dxa" w:w="2520"/>
            <w:vAlign w:val="center"/>
          </w:tcPr>
          <w:p>
            <w:r>
              <w:rPr>
                <w:sz w:val="17"/>
              </w:rPr>
              <w:t>People, Planet and Profit</w:t>
            </w:r>
          </w:p>
        </w:tc>
        <w:tc>
          <w:tcPr>
            <w:tcW w:type="dxa" w:w="2520"/>
            <w:vAlign w:val="center"/>
          </w:tcPr>
          <w:p>
            <w:r>
              <w:rPr>
                <w:sz w:val="17"/>
              </w:rPr>
              <w:t>Kritika</w:t>
            </w:r>
          </w:p>
        </w:tc>
      </w:tr>
      <w:tr>
        <w:tc>
          <w:tcPr>
            <w:tcW w:type="dxa" w:w="2520"/>
            <w:vAlign w:val="center"/>
          </w:tcPr>
          <w:p>
            <w:r>
              <w:rPr>
                <w:sz w:val="17"/>
              </w:rPr>
              <w:t>7</w:t>
            </w:r>
          </w:p>
        </w:tc>
        <w:tc>
          <w:tcPr>
            <w:tcW w:type="dxa" w:w="2520"/>
            <w:vAlign w:val="center"/>
          </w:tcPr>
          <w:p>
            <w:r>
              <w:rPr>
                <w:sz w:val="17"/>
              </w:rPr>
              <w:t>Financial Viability &amp; TBL Trade-offs</w:t>
            </w:r>
          </w:p>
        </w:tc>
        <w:tc>
          <w:tcPr>
            <w:tcW w:type="dxa" w:w="2520"/>
            <w:vAlign w:val="center"/>
          </w:tcPr>
          <w:p>
            <w:r>
              <w:rPr>
                <w:sz w:val="17"/>
              </w:rPr>
              <w:t>Service revenue, material value, contribution and break-even</w:t>
            </w:r>
          </w:p>
        </w:tc>
        <w:tc>
          <w:tcPr>
            <w:tcW w:type="dxa" w:w="2520"/>
            <w:vAlign w:val="center"/>
          </w:tcPr>
          <w:p>
            <w:r>
              <w:rPr>
                <w:sz w:val="17"/>
              </w:rPr>
              <w:t>Kritika</w:t>
            </w:r>
          </w:p>
        </w:tc>
      </w:tr>
      <w:tr>
        <w:tc>
          <w:tcPr>
            <w:tcW w:type="dxa" w:w="2520"/>
            <w:vAlign w:val="center"/>
          </w:tcPr>
          <w:p>
            <w:r>
              <w:rPr>
                <w:sz w:val="17"/>
              </w:rPr>
              <w:t>8</w:t>
            </w:r>
          </w:p>
        </w:tc>
        <w:tc>
          <w:tcPr>
            <w:tcW w:type="dxa" w:w="2520"/>
            <w:vAlign w:val="center"/>
          </w:tcPr>
          <w:p>
            <w:r>
              <w:rPr>
                <w:sz w:val="17"/>
              </w:rPr>
              <w:t>Governance &amp; Regulatory Architecture</w:t>
            </w:r>
          </w:p>
        </w:tc>
        <w:tc>
          <w:tcPr>
            <w:tcW w:type="dxa" w:w="2520"/>
            <w:vAlign w:val="center"/>
          </w:tcPr>
          <w:p>
            <w:r>
              <w:rPr>
                <w:sz w:val="17"/>
              </w:rPr>
              <w:t>EPR boundary, coordination, traceability and reporting</w:t>
            </w:r>
          </w:p>
        </w:tc>
        <w:tc>
          <w:tcPr>
            <w:tcW w:type="dxa" w:w="2520"/>
            <w:vAlign w:val="center"/>
          </w:tcPr>
          <w:p>
            <w:r>
              <w:rPr>
                <w:sz w:val="17"/>
              </w:rPr>
              <w:t>Piyush</w:t>
            </w:r>
          </w:p>
        </w:tc>
      </w:tr>
      <w:tr>
        <w:tc>
          <w:tcPr>
            <w:tcW w:type="dxa" w:w="2520"/>
            <w:vAlign w:val="center"/>
          </w:tcPr>
          <w:p>
            <w:r>
              <w:rPr>
                <w:sz w:val="17"/>
              </w:rPr>
              <w:t>9</w:t>
            </w:r>
          </w:p>
        </w:tc>
        <w:tc>
          <w:tcPr>
            <w:tcW w:type="dxa" w:w="2520"/>
            <w:vAlign w:val="center"/>
          </w:tcPr>
          <w:p>
            <w:r>
              <w:rPr>
                <w:sz w:val="17"/>
              </w:rPr>
              <w:t>How MilkLoop Proves Circularity</w:t>
            </w:r>
          </w:p>
        </w:tc>
        <w:tc>
          <w:tcPr>
            <w:tcW w:type="dxa" w:w="2520"/>
            <w:vAlign w:val="center"/>
          </w:tcPr>
          <w:p>
            <w:r>
              <w:rPr>
                <w:sz w:val="17"/>
              </w:rPr>
              <w:t>Weigh → Batch ID → Transfer → Process → Verify → Reconcile → Report</w:t>
            </w:r>
          </w:p>
        </w:tc>
        <w:tc>
          <w:tcPr>
            <w:tcW w:type="dxa" w:w="2520"/>
            <w:vAlign w:val="center"/>
          </w:tcPr>
          <w:p>
            <w:r>
              <w:rPr>
                <w:sz w:val="17"/>
              </w:rPr>
              <w:t>Piyush</w:t>
            </w:r>
          </w:p>
        </w:tc>
      </w:tr>
      <w:tr>
        <w:tc>
          <w:tcPr>
            <w:tcW w:type="dxa" w:w="2520"/>
            <w:vAlign w:val="center"/>
          </w:tcPr>
          <w:p>
            <w:r>
              <w:rPr>
                <w:sz w:val="17"/>
              </w:rPr>
              <w:t>10</w:t>
            </w:r>
          </w:p>
        </w:tc>
        <w:tc>
          <w:tcPr>
            <w:tcW w:type="dxa" w:w="2520"/>
            <w:vAlign w:val="center"/>
          </w:tcPr>
          <w:p>
            <w:r>
              <w:rPr>
                <w:sz w:val="17"/>
              </w:rPr>
              <w:t>Why Would Any Stakeholder Participate?</w:t>
            </w:r>
          </w:p>
        </w:tc>
        <w:tc>
          <w:tcPr>
            <w:tcW w:type="dxa" w:w="2520"/>
            <w:vAlign w:val="center"/>
          </w:tcPr>
          <w:p>
            <w:r>
              <w:rPr>
                <w:sz w:val="17"/>
              </w:rPr>
              <w:t>Stakeholder value exchange and meaningful engagement</w:t>
            </w:r>
          </w:p>
        </w:tc>
        <w:tc>
          <w:tcPr>
            <w:tcW w:type="dxa" w:w="2520"/>
            <w:vAlign w:val="center"/>
          </w:tcPr>
          <w:p>
            <w:r>
              <w:rPr>
                <w:sz w:val="17"/>
              </w:rPr>
              <w:t>Vanshika</w:t>
            </w:r>
          </w:p>
        </w:tc>
      </w:tr>
      <w:tr>
        <w:tc>
          <w:tcPr>
            <w:tcW w:type="dxa" w:w="2520"/>
            <w:vAlign w:val="center"/>
          </w:tcPr>
          <w:p>
            <w:r>
              <w:rPr>
                <w:sz w:val="17"/>
              </w:rPr>
              <w:t>11</w:t>
            </w:r>
          </w:p>
        </w:tc>
        <w:tc>
          <w:tcPr>
            <w:tcW w:type="dxa" w:w="2520"/>
            <w:vAlign w:val="center"/>
          </w:tcPr>
          <w:p>
            <w:r>
              <w:rPr>
                <w:sz w:val="17"/>
              </w:rPr>
              <w:t>Creating Shared Value: Why MilkLoop Is a Business</w:t>
            </w:r>
          </w:p>
        </w:tc>
        <w:tc>
          <w:tcPr>
            <w:tcW w:type="dxa" w:w="2520"/>
            <w:vAlign w:val="center"/>
          </w:tcPr>
          <w:p>
            <w:r>
              <w:rPr>
                <w:sz w:val="17"/>
              </w:rPr>
              <w:t>Shared value and recurring commercial proposition</w:t>
            </w:r>
          </w:p>
        </w:tc>
        <w:tc>
          <w:tcPr>
            <w:tcW w:type="dxa" w:w="2520"/>
            <w:vAlign w:val="center"/>
          </w:tcPr>
          <w:p>
            <w:r>
              <w:rPr>
                <w:sz w:val="17"/>
              </w:rPr>
              <w:t>Vanshika</w:t>
            </w:r>
          </w:p>
        </w:tc>
      </w:tr>
    </w:tbl>
    <w:p>
      <w:pPr>
        <w:pStyle w:val="Heading1"/>
      </w:pPr>
      <w:r>
        <w:t>14.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0EBE1"/>
          </w:tcPr>
          <w:p>
            <w:r>
              <w:rPr>
                <w:b/>
                <w:sz w:val="18"/>
              </w:rPr>
              <w:t>Phase</w:t>
            </w:r>
          </w:p>
        </w:tc>
        <w:tc>
          <w:tcPr>
            <w:tcW w:type="dxa" w:w="3360"/>
            <w:shd w:fill="E0EBE1"/>
          </w:tcPr>
          <w:p>
            <w:r>
              <w:rPr>
                <w:b/>
                <w:sz w:val="18"/>
              </w:rPr>
              <w:t>Priority Actions</w:t>
            </w:r>
          </w:p>
        </w:tc>
        <w:tc>
          <w:tcPr>
            <w:tcW w:type="dxa" w:w="3360"/>
            <w:shd w:fill="E0EBE1"/>
          </w:tcPr>
          <w:p>
            <w:r>
              <w:rPr>
                <w:b/>
                <w:sz w:val="18"/>
              </w:rPr>
              <w:t>Decision Gate</w:t>
            </w:r>
          </w:p>
        </w:tc>
      </w:tr>
      <w:tr>
        <w:tc>
          <w:tcPr>
            <w:tcW w:type="dxa" w:w="3360"/>
            <w:vAlign w:val="center"/>
          </w:tcPr>
          <w:p>
            <w:r>
              <w:rPr>
                <w:sz w:val="17"/>
              </w:rPr>
              <w:t>Phase 1 — Baseline &amp; Pilot Design</w:t>
            </w:r>
          </w:p>
        </w:tc>
        <w:tc>
          <w:tcPr>
            <w:tcW w:type="dxa" w:w="3360"/>
            <w:vAlign w:val="center"/>
          </w:tcPr>
          <w:p>
            <w:r>
              <w:rPr>
                <w:sz w:val="17"/>
              </w:rPr>
              <w:t>Select geography; quantify pouch flow; map collection partners; establish governance records; define approved downstream applications.</w:t>
            </w:r>
          </w:p>
        </w:tc>
        <w:tc>
          <w:tcPr>
            <w:tcW w:type="dxa" w:w="3360"/>
            <w:vAlign w:val="center"/>
          </w:tcPr>
          <w:p>
            <w:r>
              <w:rPr>
                <w:sz w:val="17"/>
              </w:rPr>
              <w:t>Credible baseline and pilot protocol approved.</w:t>
            </w:r>
          </w:p>
        </w:tc>
      </w:tr>
      <w:tr>
        <w:tc>
          <w:tcPr>
            <w:tcW w:type="dxa" w:w="3360"/>
            <w:vAlign w:val="center"/>
          </w:tcPr>
          <w:p>
            <w:r>
              <w:rPr>
                <w:sz w:val="17"/>
              </w:rPr>
              <w:t>Phase 2 — Pilot</w:t>
            </w:r>
          </w:p>
        </w:tc>
        <w:tc>
          <w:tcPr>
            <w:tcW w:type="dxa" w:w="3360"/>
            <w:vAlign w:val="center"/>
          </w:tcPr>
          <w:p>
            <w:r>
              <w:rPr>
                <w:sz w:val="17"/>
              </w:rPr>
              <w:t>Run collection clusters; record weighment, batch IDs, movement, processing, social and financial data.</w:t>
            </w:r>
          </w:p>
        </w:tc>
        <w:tc>
          <w:tcPr>
            <w:tcW w:type="dxa" w:w="3360"/>
            <w:vAlign w:val="center"/>
          </w:tcPr>
          <w:p>
            <w:r>
              <w:rPr>
                <w:sz w:val="17"/>
              </w:rPr>
              <w:t>Evidence-backed operating and unit-economic data.</w:t>
            </w:r>
          </w:p>
        </w:tc>
      </w:tr>
      <w:tr>
        <w:tc>
          <w:tcPr>
            <w:tcW w:type="dxa" w:w="3360"/>
            <w:vAlign w:val="center"/>
          </w:tcPr>
          <w:p>
            <w:r>
              <w:rPr>
                <w:sz w:val="17"/>
              </w:rPr>
              <w:t>Phase 3 — Optimisation</w:t>
            </w:r>
          </w:p>
        </w:tc>
        <w:tc>
          <w:tcPr>
            <w:tcW w:type="dxa" w:w="3360"/>
            <w:vAlign w:val="center"/>
          </w:tcPr>
          <w:p>
            <w:r>
              <w:rPr>
                <w:sz w:val="17"/>
              </w:rPr>
              <w:t>Adjust collection density, routes, partner mix, sorting and incentives based on measured cost and recovery.</w:t>
            </w:r>
          </w:p>
        </w:tc>
        <w:tc>
          <w:tcPr>
            <w:tcW w:type="dxa" w:w="3360"/>
            <w:vAlign w:val="center"/>
          </w:tcPr>
          <w:p>
            <w:r>
              <w:rPr>
                <w:sz w:val="17"/>
              </w:rPr>
              <w:t>Target contribution/kg and service reliability achieved in pilot conditions.</w:t>
            </w:r>
          </w:p>
        </w:tc>
      </w:tr>
      <w:tr>
        <w:tc>
          <w:tcPr>
            <w:tcW w:type="dxa" w:w="3360"/>
            <w:vAlign w:val="center"/>
          </w:tcPr>
          <w:p>
            <w:r>
              <w:rPr>
                <w:sz w:val="17"/>
              </w:rPr>
              <w:t>Phase 4 — Scale</w:t>
            </w:r>
          </w:p>
        </w:tc>
        <w:tc>
          <w:tcPr>
            <w:tcW w:type="dxa" w:w="3360"/>
            <w:vAlign w:val="center"/>
          </w:tcPr>
          <w:p>
            <w:r>
              <w:rPr>
                <w:sz w:val="17"/>
              </w:rPr>
              <w:t>Expand dairy relationships, collection network and verified processors; strengthen reporting infrastructure.</w:t>
            </w:r>
          </w:p>
        </w:tc>
        <w:tc>
          <w:tcPr>
            <w:tcW w:type="dxa" w:w="3360"/>
            <w:vAlign w:val="center"/>
          </w:tcPr>
          <w:p>
            <w:r>
              <w:rPr>
                <w:sz w:val="17"/>
              </w:rPr>
              <w:t>Scalable network economics and governance controls.</w:t>
            </w:r>
          </w:p>
        </w:tc>
      </w:tr>
    </w:tbl>
    <w:p>
      <w:pPr>
        <w:pStyle w:val="Heading1"/>
      </w:pPr>
      <w:r>
        <w:t>15. Conclusion</w:t>
      </w:r>
    </w:p>
    <w:p>
      <w:r>
        <w:t>MilkLoop's strongest proposition is not that milk pouches are recyclable. It is that the entire packaging system can be redesigned around what happens after consumption. The project connects packaging design, take-back, reverse logistics, stakeholder participation, TBL measurement, financial viability and governance evidence into one operating model.</w:t>
      </w:r>
    </w:p>
    <w:p>
      <w:r>
        <w:t>The team deliberately avoids unsupported claims. The model does not assume that all collected material is recycled, that recovered material automatically returns to new milk pouches, that MilkLoop transfers EPR liability, or that financial performance already exists. Instead, it establishes the architecture through which those outcomes can be tested and demonstrated.</w:t>
      </w:r>
    </w:p>
    <w:p>
      <w:r>
        <w:t>The next validation step is a geographically bounded pilot that establishes the missing milk-pouch-specific baseline and tests operational, social, environmental and financial assumptions.</w:t>
      </w:r>
    </w:p>
    <w:p>
      <w:r>
        <w:rPr>
          <w:b/>
        </w:rPr>
        <w:t>Final proposition: “The packaging is redesigned for circularity, the supply chain is redesigned for return, and the business model monetises coordination and evidence.”</w:t>
      </w:r>
    </w:p>
    <w:p>
      <w:r>
        <w:br w:type="page"/>
      </w:r>
    </w:p>
    <w:p>
      <w:pPr>
        <w:pStyle w:val="Heading1"/>
      </w:pPr>
      <w:r>
        <w:t>Appendix A — Team Role Boundary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0EBE1"/>
          </w:tcPr>
          <w:p>
            <w:r>
              <w:rPr>
                <w:b/>
                <w:sz w:val="18"/>
              </w:rPr>
              <w:t>Member</w:t>
            </w:r>
          </w:p>
        </w:tc>
        <w:tc>
          <w:tcPr>
            <w:tcW w:type="dxa" w:w="3360"/>
            <w:shd w:fill="E0EBE1"/>
          </w:tcPr>
          <w:p>
            <w:r>
              <w:rPr>
                <w:b/>
                <w:sz w:val="18"/>
              </w:rPr>
              <w:t>Owns</w:t>
            </w:r>
          </w:p>
        </w:tc>
        <w:tc>
          <w:tcPr>
            <w:tcW w:type="dxa" w:w="3360"/>
            <w:shd w:fill="E0EBE1"/>
          </w:tcPr>
          <w:p>
            <w:r>
              <w:rPr>
                <w:b/>
                <w:sz w:val="18"/>
              </w:rPr>
              <w:t>Should Avoid Owning</w:t>
            </w:r>
          </w:p>
        </w:tc>
      </w:tr>
      <w:tr>
        <w:tc>
          <w:tcPr>
            <w:tcW w:type="dxa" w:w="3360"/>
            <w:vAlign w:val="center"/>
          </w:tcPr>
          <w:p>
            <w:r>
              <w:rPr>
                <w:sz w:val="17"/>
              </w:rPr>
              <w:t>Vishal</w:t>
            </w:r>
          </w:p>
        </w:tc>
        <w:tc>
          <w:tcPr>
            <w:tcW w:type="dxa" w:w="3360"/>
            <w:vAlign w:val="center"/>
          </w:tcPr>
          <w:p>
            <w:r>
              <w:rPr>
                <w:sz w:val="17"/>
              </w:rPr>
              <w:t>Current-state lifecycle, baseline, material flow, evidence gaps</w:t>
            </w:r>
          </w:p>
        </w:tc>
        <w:tc>
          <w:tcPr>
            <w:tcW w:type="dxa" w:w="3360"/>
            <w:vAlign w:val="center"/>
          </w:tcPr>
          <w:p>
            <w:r>
              <w:rPr>
                <w:sz w:val="17"/>
              </w:rPr>
              <w:t>Detailed solution economics or stakeholder incentive design</w:t>
            </w:r>
          </w:p>
        </w:tc>
      </w:tr>
      <w:tr>
        <w:tc>
          <w:tcPr>
            <w:tcW w:type="dxa" w:w="3360"/>
            <w:vAlign w:val="center"/>
          </w:tcPr>
          <w:p>
            <w:r>
              <w:rPr>
                <w:sz w:val="17"/>
              </w:rPr>
              <w:t>Shivam</w:t>
            </w:r>
          </w:p>
        </w:tc>
        <w:tc>
          <w:tcPr>
            <w:tcW w:type="dxa" w:w="3360"/>
            <w:vAlign w:val="center"/>
          </w:tcPr>
          <w:p>
            <w:r>
              <w:rPr>
                <w:sz w:val="17"/>
              </w:rPr>
              <w:t>Physical circular operations, reverse logistics, partner flow, operational KPIs</w:t>
            </w:r>
          </w:p>
        </w:tc>
        <w:tc>
          <w:tcPr>
            <w:tcW w:type="dxa" w:w="3360"/>
            <w:vAlign w:val="center"/>
          </w:tcPr>
          <w:p>
            <w:r>
              <w:rPr>
                <w:sz w:val="17"/>
              </w:rPr>
              <w:t>Detailed TBL scoring or regulatory interpretation</w:t>
            </w:r>
          </w:p>
        </w:tc>
      </w:tr>
      <w:tr>
        <w:tc>
          <w:tcPr>
            <w:tcW w:type="dxa" w:w="3360"/>
            <w:vAlign w:val="center"/>
          </w:tcPr>
          <w:p>
            <w:r>
              <w:rPr>
                <w:sz w:val="17"/>
              </w:rPr>
              <w:t>Kritika</w:t>
            </w:r>
          </w:p>
        </w:tc>
        <w:tc>
          <w:tcPr>
            <w:tcW w:type="dxa" w:w="3360"/>
            <w:vAlign w:val="center"/>
          </w:tcPr>
          <w:p>
            <w:r>
              <w:rPr>
                <w:sz w:val="17"/>
              </w:rPr>
              <w:t>People–Planet–Profit measurement, trade-offs, unit economics</w:t>
            </w:r>
          </w:p>
        </w:tc>
        <w:tc>
          <w:tcPr>
            <w:tcW w:type="dxa" w:w="3360"/>
            <w:vAlign w:val="center"/>
          </w:tcPr>
          <w:p>
            <w:r>
              <w:rPr>
                <w:sz w:val="17"/>
              </w:rPr>
              <w:t>Replacing governance controls or stakeholder strategy</w:t>
            </w:r>
          </w:p>
        </w:tc>
      </w:tr>
      <w:tr>
        <w:tc>
          <w:tcPr>
            <w:tcW w:type="dxa" w:w="3360"/>
            <w:vAlign w:val="center"/>
          </w:tcPr>
          <w:p>
            <w:r>
              <w:rPr>
                <w:sz w:val="17"/>
              </w:rPr>
              <w:t>Piyush</w:t>
            </w:r>
          </w:p>
        </w:tc>
        <w:tc>
          <w:tcPr>
            <w:tcW w:type="dxa" w:w="3360"/>
            <w:vAlign w:val="center"/>
          </w:tcPr>
          <w:p>
            <w:r>
              <w:rPr>
                <w:sz w:val="17"/>
              </w:rPr>
              <w:t>Regulatory boundary, governance, traceability, verification, claim discipline</w:t>
            </w:r>
          </w:p>
        </w:tc>
        <w:tc>
          <w:tcPr>
            <w:tcW w:type="dxa" w:w="3360"/>
            <w:vAlign w:val="center"/>
          </w:tcPr>
          <w:p>
            <w:r>
              <w:rPr>
                <w:sz w:val="17"/>
              </w:rPr>
              <w:t>Repeating the entire physical supply chain</w:t>
            </w:r>
          </w:p>
        </w:tc>
      </w:tr>
      <w:tr>
        <w:tc>
          <w:tcPr>
            <w:tcW w:type="dxa" w:w="3360"/>
            <w:vAlign w:val="center"/>
          </w:tcPr>
          <w:p>
            <w:r>
              <w:rPr>
                <w:sz w:val="17"/>
              </w:rPr>
              <w:t>Vanshika</w:t>
            </w:r>
          </w:p>
        </w:tc>
        <w:tc>
          <w:tcPr>
            <w:tcW w:type="dxa" w:w="3360"/>
            <w:vAlign w:val="center"/>
          </w:tcPr>
          <w:p>
            <w:r>
              <w:rPr>
                <w:sz w:val="17"/>
              </w:rPr>
              <w:t>Stakeholder participation, value exchange, CSV and commercial synthesis</w:t>
            </w:r>
          </w:p>
        </w:tc>
        <w:tc>
          <w:tcPr>
            <w:tcW w:type="dxa" w:w="3360"/>
            <w:vAlign w:val="center"/>
          </w:tcPr>
          <w:p>
            <w:r>
              <w:rPr>
                <w:sz w:val="17"/>
              </w:rPr>
              <w:t>Detailed operational formulas or regulatory ownership</w:t>
            </w:r>
          </w:p>
        </w:tc>
      </w:tr>
    </w:tbl>
    <w:p>
      <w:pPr>
        <w:pStyle w:val="Heading1"/>
      </w:pPr>
      <w:r>
        <w:t>Appendix B — Evidence Classification Protocol</w:t>
      </w:r>
    </w:p>
    <w:tbl>
      <w:tblPr>
        <w:tblStyle w:val="TableGrid"/>
        <w:tblW w:type="auto" w:w="0"/>
        <w:jc w:val="center"/>
        <w:tblLook w:firstColumn="1" w:firstRow="1" w:lastColumn="0" w:lastRow="0" w:noHBand="0" w:noVBand="1" w:val="04A0"/>
      </w:tblPr>
      <w:tblGrid>
        <w:gridCol w:w="5040"/>
        <w:gridCol w:w="5040"/>
      </w:tblGrid>
      <w:tr>
        <w:tc>
          <w:tcPr>
            <w:tcW w:type="dxa" w:w="5040"/>
            <w:shd w:fill="E0EBE1"/>
          </w:tcPr>
          <w:p>
            <w:r>
              <w:rPr>
                <w:b/>
                <w:sz w:val="18"/>
              </w:rPr>
              <w:t>Label</w:t>
            </w:r>
          </w:p>
        </w:tc>
        <w:tc>
          <w:tcPr>
            <w:tcW w:type="dxa" w:w="5040"/>
            <w:shd w:fill="E0EBE1"/>
          </w:tcPr>
          <w:p>
            <w:r>
              <w:rPr>
                <w:b/>
                <w:sz w:val="18"/>
              </w:rPr>
              <w:t>Meaning</w:t>
            </w:r>
          </w:p>
        </w:tc>
      </w:tr>
      <w:tr>
        <w:tc>
          <w:tcPr>
            <w:tcW w:type="dxa" w:w="5040"/>
            <w:vAlign w:val="center"/>
          </w:tcPr>
          <w:p>
            <w:r>
              <w:rPr>
                <w:sz w:val="17"/>
              </w:rPr>
              <w:t>Verified</w:t>
            </w:r>
          </w:p>
        </w:tc>
        <w:tc>
          <w:tcPr>
            <w:tcW w:type="dxa" w:w="5040"/>
            <w:vAlign w:val="center"/>
          </w:tcPr>
          <w:p>
            <w:r>
              <w:rPr>
                <w:sz w:val="17"/>
              </w:rPr>
              <w:t>Directly supported by an identified source or operational record.</w:t>
            </w:r>
          </w:p>
        </w:tc>
      </w:tr>
      <w:tr>
        <w:tc>
          <w:tcPr>
            <w:tcW w:type="dxa" w:w="5040"/>
            <w:vAlign w:val="center"/>
          </w:tcPr>
          <w:p>
            <w:r>
              <w:rPr>
                <w:sz w:val="17"/>
              </w:rPr>
              <w:t>Calculated</w:t>
            </w:r>
          </w:p>
        </w:tc>
        <w:tc>
          <w:tcPr>
            <w:tcW w:type="dxa" w:w="5040"/>
            <w:vAlign w:val="center"/>
          </w:tcPr>
          <w:p>
            <w:r>
              <w:rPr>
                <w:sz w:val="17"/>
              </w:rPr>
              <w:t>Derived mathematically from verified inputs.</w:t>
            </w:r>
          </w:p>
        </w:tc>
      </w:tr>
      <w:tr>
        <w:tc>
          <w:tcPr>
            <w:tcW w:type="dxa" w:w="5040"/>
            <w:vAlign w:val="center"/>
          </w:tcPr>
          <w:p>
            <w:r>
              <w:rPr>
                <w:sz w:val="17"/>
              </w:rPr>
              <w:t>Assumption</w:t>
            </w:r>
          </w:p>
        </w:tc>
        <w:tc>
          <w:tcPr>
            <w:tcW w:type="dxa" w:w="5040"/>
            <w:vAlign w:val="center"/>
          </w:tcPr>
          <w:p>
            <w:r>
              <w:rPr>
                <w:sz w:val="17"/>
              </w:rPr>
              <w:t>A modelling input adopted because direct evidence is unavailable.</w:t>
            </w:r>
          </w:p>
        </w:tc>
      </w:tr>
      <w:tr>
        <w:tc>
          <w:tcPr>
            <w:tcW w:type="dxa" w:w="5040"/>
            <w:vAlign w:val="center"/>
          </w:tcPr>
          <w:p>
            <w:r>
              <w:rPr>
                <w:sz w:val="17"/>
              </w:rPr>
              <w:t>Scenario</w:t>
            </w:r>
          </w:p>
        </w:tc>
        <w:tc>
          <w:tcPr>
            <w:tcW w:type="dxa" w:w="5040"/>
            <w:vAlign w:val="center"/>
          </w:tcPr>
          <w:p>
            <w:r>
              <w:rPr>
                <w:sz w:val="17"/>
              </w:rPr>
              <w:t>Illustrative sensitivity case, not an achieved result.</w:t>
            </w:r>
          </w:p>
        </w:tc>
      </w:tr>
      <w:tr>
        <w:tc>
          <w:tcPr>
            <w:tcW w:type="dxa" w:w="5040"/>
            <w:vAlign w:val="center"/>
          </w:tcPr>
          <w:p>
            <w:r>
              <w:rPr>
                <w:sz w:val="17"/>
              </w:rPr>
              <w:t>Projection</w:t>
            </w:r>
          </w:p>
        </w:tc>
        <w:tc>
          <w:tcPr>
            <w:tcW w:type="dxa" w:w="5040"/>
            <w:vAlign w:val="center"/>
          </w:tcPr>
          <w:p>
            <w:r>
              <w:rPr>
                <w:sz w:val="17"/>
              </w:rPr>
              <w:t>Forward-looking estimate based on stated assumptions.</w:t>
            </w:r>
          </w:p>
        </w:tc>
      </w:tr>
      <w:tr>
        <w:tc>
          <w:tcPr>
            <w:tcW w:type="dxa" w:w="5040"/>
            <w:vAlign w:val="center"/>
          </w:tcPr>
          <w:p>
            <w:r>
              <w:rPr>
                <w:sz w:val="17"/>
              </w:rPr>
              <w:t>Proposed Target</w:t>
            </w:r>
          </w:p>
        </w:tc>
        <w:tc>
          <w:tcPr>
            <w:tcW w:type="dxa" w:w="5040"/>
            <w:vAlign w:val="center"/>
          </w:tcPr>
          <w:p>
            <w:r>
              <w:rPr>
                <w:sz w:val="17"/>
              </w:rPr>
              <w:t>Management ambition to be validated through pilot/implementation.</w:t>
            </w:r>
          </w:p>
        </w:tc>
      </w:tr>
    </w:tbl>
    <w:p>
      <w:pPr>
        <w:pStyle w:val="Heading1"/>
      </w:pPr>
      <w:r>
        <w:t>Appendix C — Illustrative Material Accounting</w:t>
      </w:r>
    </w:p>
    <w:p>
      <w:r>
        <w:t>Illustrative only: 1,000 kg collected → 950 kg entering processing → 700 kg recovered → 250 kg residual/loss, with 50 kg of collection/sorting rejects. This example is not MilkLoop actual performance and must not be presented as a measured result.</w:t>
      </w:r>
    </w:p>
    <w:p>
      <w:pPr>
        <w:pStyle w:val="Heading1"/>
      </w:pPr>
      <w:r>
        <w:t>Appendix D — Source Documents Used</w:t>
      </w:r>
    </w:p>
    <w:p>
      <w:pPr>
        <w:pStyle w:val="ListBullet"/>
        <w:spacing w:after="40"/>
      </w:pPr>
      <w:r>
        <w:t>MilkLoop_Vishal_FullResearch_Report.docx — Lifecycle &amp; Baseline Research Report.</w:t>
      </w:r>
    </w:p>
    <w:p>
      <w:pPr>
        <w:pStyle w:val="ListBullet"/>
        <w:spacing w:after="40"/>
      </w:pPr>
      <w:r>
        <w:t>Supply Chain &amp; Closed-Loop Operations Lead – ROLE CONTENT (1).pdf — Shivam workstream.</w:t>
      </w:r>
    </w:p>
    <w:p>
      <w:pPr>
        <w:pStyle w:val="ListBullet"/>
        <w:spacing w:after="40"/>
      </w:pPr>
      <w:r>
        <w:t>MilkLoop_Kritika_TBL_Impact_Strategist_Pack.docx — TBL Impact Strategist Pack.</w:t>
      </w:r>
    </w:p>
    <w:p>
      <w:pPr>
        <w:pStyle w:val="ListBullet"/>
        <w:spacing w:after="40"/>
      </w:pPr>
      <w:r>
        <w:t>MilkLoop_Piyush_Governance_Compliance_Pack.docx — Governance &amp; Regulatory Compliance Pack.</w:t>
      </w:r>
    </w:p>
    <w:p>
      <w:pPr>
        <w:pStyle w:val="ListBullet"/>
        <w:spacing w:after="40"/>
      </w:pPr>
      <w:r>
        <w:t>Vanshika_MilkLoop_Stakeholder_CSV_Content (1).pdf — Stakeholder Engagement &amp; CSV workstream.</w:t>
      </w:r>
    </w:p>
    <w:p>
      <w:pPr>
        <w:pStyle w:val="ListBullet"/>
        <w:spacing w:after="40"/>
      </w:pPr>
      <w:r>
        <w:t>MilkLoop_Redesigned_Team_Blueprint.docx — Integrated revised project blueprint and presentation controls.</w:t>
      </w:r>
    </w:p>
    <w:p>
      <w:pPr>
        <w:pStyle w:val="Heading1"/>
      </w:pPr>
      <w:r>
        <w:t>Appendix E — Frameworks and Regulatory References Named in Team Materials</w:t>
      </w:r>
    </w:p>
    <w:p>
      <w:pPr>
        <w:pStyle w:val="ListBullet"/>
        <w:spacing w:after="40"/>
      </w:pPr>
      <w:r>
        <w:t>Crane, A. &amp; Matten, D. (2016) — Business Ethics / responsible business framework.</w:t>
      </w:r>
    </w:p>
    <w:p>
      <w:pPr>
        <w:pStyle w:val="ListBullet"/>
        <w:spacing w:after="40"/>
      </w:pPr>
      <w:r>
        <w:t>Elkington, J. (1997) — Cannibals with Forks / Triple Bottom Line.</w:t>
      </w:r>
    </w:p>
    <w:p>
      <w:pPr>
        <w:pStyle w:val="ListBullet"/>
        <w:spacing w:after="40"/>
      </w:pPr>
      <w:r>
        <w:t>Egels-Zandén (2007) — responsible supply-chain perspective.</w:t>
      </w:r>
    </w:p>
    <w:p>
      <w:pPr>
        <w:pStyle w:val="ListBullet"/>
        <w:spacing w:after="40"/>
      </w:pPr>
      <w:r>
        <w:t>Porter, M. E. &amp; Kramer, M. R. (2011) — Creating Shared Value.</w:t>
      </w:r>
    </w:p>
    <w:p>
      <w:pPr>
        <w:pStyle w:val="ListBullet"/>
        <w:spacing w:after="40"/>
      </w:pPr>
      <w:r>
        <w:t>National Guidelines for Responsible Business Conduct (NGRBC), 2019.</w:t>
      </w:r>
    </w:p>
    <w:p>
      <w:pPr>
        <w:pStyle w:val="ListBullet"/>
        <w:spacing w:after="40"/>
      </w:pPr>
      <w:r>
        <w:t>Plastic Waste Management Rules, 2016 and applicable plastic-packaging EPR framework.</w:t>
      </w:r>
    </w:p>
    <w:p>
      <w:pPr>
        <w:pStyle w:val="ListBullet"/>
        <w:spacing w:after="40"/>
      </w:pPr>
      <w:r>
        <w:t>Companies Act, 2013 — Section 135.</w:t>
      </w:r>
    </w:p>
    <w:p>
      <w:pPr>
        <w:pStyle w:val="ListBullet"/>
        <w:spacing w:after="40"/>
      </w:pPr>
      <w:r>
        <w:t>SEBI BRSR / BRSR Core framework, where applicable.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MilkLoop | Final Combined Team Report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