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12704"/>
          <w:spacing w:val="20"/>
          <w:sz w:val="20"/>
          <w:szCs w:val="20"/>
        </w:rPr>
        <w:t xml:space="preserve">AMAZON ML CHALLENGE 2026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48"/>
          <w:szCs w:val="48"/>
        </w:rPr>
        <w:t xml:space="preserve">Business Entity Resolution</w:t>
      </w:r>
    </w:p>
    <w:p>
      <w:pPr>
        <w:spacing w:after="30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Solution Methodology &amp; Team Playbook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Team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Shivam + 3 teammates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Track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Business Entity Resolution — record linkage across three noisy sources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Metric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Macro-averaged F0.5 (precision weighted 2× recall), computed per Source-1 entity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Window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25–27 Sep 2026 (72 hours)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Deliverables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matching_results.tsv (leaderboard) · candidate_pairs.tsv · runnable pipeline · this document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12704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1. Executive Summary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task is to link business records describing the same real-world entity across three independent, noisy sources, using only names and addresses. Source 1 is a deduplicated reference list; Source 2 and Source 3 are the noisy fragments to be matched against it. A Source 1 entity may match zero, one, or many records, and roughly a third of entities are expected to be singletons with no match at all.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solution is a five-stage pipeline — normalize, block, score pairs with a gradient-boosted model, then convert pair probabilities into entity-level predictions through a decision layer built around the F0.5 metric specifically. The last stage matters as much as the model: because the metric is macro-averaged per entity and precision-weighted, the optimal number of matches to predict per entity is not simply "everything above a probability threshold." Section 6 works through the arithmetic and the pipeline implements the resulting decision rule directly.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first working version (blocking + LightGBM + a tuned decision layer) is intended to be submitted within the first few hours of the challenge, both to bank a leaderboard score and to produce the diagnostics — blocking recall, singleton rate, cross-country leakage — that steer the rest of the three days. Later stages (embedding-based blocking, a cross-encoder, stacking, calibration) are layered on without changing this contract, so the team can work in parallel.</w:t>
      </w:r>
    </w:p>
    <w:p>
      <w:pPr>
        <w:pStyle w:val="Heading1"/>
        <w:pBdr>
          <w:bottom w:val="single" w:color="B12704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2. Problem Understanding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B12704"/>
          <w:sz w:val="25"/>
          <w:szCs w:val="25"/>
        </w:rPr>
        <w:t xml:space="preserve">2.1 Task Definition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 every Source-1 entity, identify all matching records in Source 2 and Source 3, using only business_name, business_address, and country. Sources share no common identifier. The training set covers US and India with ground-truth labels; the test set adds France, unseen during training, and every test entity — including every French one — must receive a prediction row.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B12704"/>
          <w:sz w:val="25"/>
          <w:szCs w:val="25"/>
        </w:rPr>
        <w:t xml:space="preserve">2.2 Why the Evaluation Metric Changes the Strategy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F0.5 = 1.25 × Precision × Recall / (0.25 × Precision + Recall), computed per Source-1 entity and then averaged across all entities (macro, not micro). Two consequences follow directly from the formula and drive most of the design below: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Singletons are all-or-nothing.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An entity with no true match scores 1.0 if the prediction is empty, and 0.0 if anything at all is predicted. A non-singleton predicted empty also scores 0.0. Roughly a third of entities are expected to be singletons, so correctly detecting “no match” is worth as much as correctly finding matches.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The break-even probability is not the same for the first match as for later ones.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For a lone uncertain candidate, predicting it beats predicting empty once its probability exceeds roughly 0.5 — not the 0.8–0.9 that “precision-heavy” intuition suggests. But once one match is already confirmed, adding a second candidate only pays off above roughly 0.73, because a wrong addition drags a perfect score down further than a missed one would. A single global threshold on pair probability is therefore mathematically the wrong tool; the decision needs to operate on the whole candidate set per entity, not pair by pair.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Section 6 turns this into two concrete decision rules (two-threshold and expected-F0.5 set selection) and the pipeline selects between them empirically.</w:t>
      </w:r>
    </w:p>
    <w:p>
      <w:pPr>
        <w:pStyle w:val="Heading1"/>
        <w:pBdr>
          <w:bottom w:val="single" w:color="B12704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3. Solution Architecture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pipeline has five stages, each with a fixed, narrow interface (typically a table keyed on source1_entity_id, candidate_entity_id) so the four workstreams in Section 9 can develop in parallel without blocking on one another.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100"/>
        <w:gridCol w:w="2600"/>
      </w:tblGrid>
      <w:tr>
        <w:trPr>
          <w:tblHeader/>
        </w:trPr>
        <w:tc>
          <w:tcPr>
            <w:tcW w:type="dxa" w:w="1900"/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100"/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00"/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 Normalize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Canonicalize names/addresses; strip accents, expand/collapse abbreviations, isolate legal-form and postal-code fields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Per-record normalized fields</w:t>
            </w:r>
          </w:p>
        </w:tc>
      </w:tr>
      <w:tr>
        <w:tc>
          <w:tcPr>
            <w:tcW w:type="dxa" w:w="19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Block</w:t>
            </w:r>
          </w:p>
        </w:tc>
        <w:tc>
          <w:tcPr>
            <w:tcW w:type="dxa" w:w="51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Cheaply shortlist plausible S2/S3 candidates per S1 entity from several independent blockers</w:t>
            </w:r>
          </w:p>
        </w:tc>
        <w:tc>
          <w:tcPr>
            <w:tcW w:type="dxa" w:w="26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candidate_pairs.tsv (recall-oriented)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Pair features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~60 similarity, overlap and rank/context features per (S1, candidate) pair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Feature table</w:t>
            </w:r>
          </w:p>
        </w:tc>
      </w:tr>
      <w:tr>
        <w:tc>
          <w:tcPr>
            <w:tcW w:type="dxa" w:w="19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Pair model</w:t>
            </w:r>
          </w:p>
        </w:tc>
        <w:tc>
          <w:tcPr>
            <w:tcW w:type="dxa" w:w="51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LightGBM under grouped cross-validation predicts match probability</w:t>
            </w:r>
          </w:p>
        </w:tc>
        <w:tc>
          <w:tcPr>
            <w:tcW w:type="dxa" w:w="26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p(match) per pair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Decision layer</w:t>
            </w:r>
          </w:p>
        </w:tc>
        <w:tc>
          <w:tcPr>
            <w:tcW w:type="dxa" w:w="5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Exclusivity constraint + entity-level, F0.5-aware set selection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matching_results.tsv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reference implementation of Stages 0–4 (er_pipeline.py) is the team's shared baseline; every extension described in Sections 4–6 is designed as an addition to it rather than a rewrite.</w:t>
      </w:r>
    </w:p>
    <w:p>
      <w:pPr>
        <w:pStyle w:val="Heading1"/>
        <w:pBdr>
          <w:bottom w:val="single" w:color="B12704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4. Candidate Generation / Blocking Strategy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Blocking sets the ceiling on achievable recall — a true match that is never proposed as a candidate cannot be found downstream — so it is invested in first and validated against training ground truth before any modeling time is spent. It is also independently audited: candidate_pairs.tsv must be exactly the set the final model scores over, so the team's blocking recall and reduction ratio are visible to the graders.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B12704"/>
          <w:sz w:val="25"/>
          <w:szCs w:val="25"/>
        </w:rPr>
        <w:t xml:space="preserve">4.1 Normalization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Applied identically to all three sources so comparisons are apples-to-apples: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Unicode accent stripping (decisive for French: établissement vs etablissement)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Lowercasing, punctuation folding, '&amp;' / 'et' / 'and' unification, apostrophe elision (l'atelier)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collapsible abbreviation table for legal suffixes (Incorporated→Inc, Private→Pvt, Société→Ste, SARL/SAS kept as-is) and address words (Street/Saint→St, Road→Rd, Chemin→Ch)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Legal-form tokens (Inc, LLC, Pvt Ltd, SARL…) are pulled out of the name into their own field rather than left to dilute name-similarity scores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Postal code and house-number extraction into dedicated fields; landmark markers (Near, Opposite, Près) flagged separately since they signal a different addressing style rather than a mismatch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Planned extension: mine additional abbreviation/transliteration pairs directly from confirmed training matches (and, cautiously, from high-confidence French test matches) — tokens that repeatedly co-occur across a matched pair but never on their own are strong abbreviation-pair candidates. This is a data-driven addition, not an external lookup, so it stays within the “no external data” rule.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B12704"/>
          <w:sz w:val="25"/>
          <w:szCs w:val="25"/>
        </w:rPr>
        <w:t xml:space="preserve">4.2 Multi-View Blocking (candidates are the union of several independent blockers)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00"/>
      </w:tblGrid>
      <w:tr>
        <w:trPr>
          <w:tblHeader/>
        </w:trPr>
        <w:tc>
          <w:tcPr>
            <w:tcW w:type="dxa" w:w="2600"/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Blocker</w:t>
            </w:r>
          </w:p>
        </w:tc>
        <w:tc>
          <w:tcPr>
            <w:tcW w:type="dxa" w:w="3600"/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400"/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Catches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Name TF-IDF (char 3-grams)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S1→candidate and candidate→S1 top-k cosine on core business name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Typos, minor rewording</w:t>
            </w:r>
          </w:p>
        </w:tc>
      </w:tr>
      <w:tr>
        <w:tc>
          <w:tcPr>
            <w:tcW w:type="dxa" w:w="26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Name+address TF-IDF</w:t>
            </w:r>
          </w:p>
        </w:tc>
        <w:tc>
          <w:tcPr>
            <w:tcW w:type="dxa" w:w="36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Same, on name and address concatenated</w:t>
            </w:r>
          </w:p>
        </w:tc>
        <w:tc>
          <w:tcPr>
            <w:tcW w:type="dxa" w:w="34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Cases where the name alone is too generic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Exact key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(postal code, first name token)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Cheap high-precision anchor, cross-checks the fuzzy blockers</w:t>
            </w:r>
          </w:p>
        </w:tc>
      </w:tr>
      <w:tr>
        <w:tc>
          <w:tcPr>
            <w:tcW w:type="dxa" w:w="26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Dense embeddings (planned)</w:t>
            </w:r>
          </w:p>
        </w:tc>
        <w:tc>
          <w:tcPr>
            <w:tcW w:type="dxa" w:w="36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Multilingual sentence embeddings + FAISS kNN</w:t>
            </w:r>
          </w:p>
        </w:tc>
        <w:tc>
          <w:tcPr>
            <w:tcW w:type="dxa" w:w="34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Transliteration, word-order shuffles, cross-script variants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Rare-token index (planned)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Inverted index on low-frequency tokens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Long-tail names TF-IDF under-weights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Both directions (S1→candidate and candidate→S1) are run for every fuzzy blocker: a candidate that is any S1's best match is kept even if it doesn't make that S1's own top-k, which matters when one S1 entity is generic-sounding and crowds out a genuine partner from its own ranked list.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B12704"/>
          <w:sz w:val="25"/>
          <w:szCs w:val="25"/>
        </w:rPr>
        <w:t xml:space="preserve">4.3 Diagnostics Run Before Any Modeling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 training data, before touching the model, the pipeline reports: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Pair recall of the union of blockers against ground truth, and each blocker's recall in isolation — shows which blockers are load-bearing versus redundant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Whether any S2/S3 record legitimately matches more than one S1 entity — validates the exclusivity assumption in Section 6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Whether any gold match pairs a S1 entity with a candidate from a different country — validates blocking within country rather than globally, which is far cheaper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Singleton rate and match-set size distribution — sets expectations for the decision layer and sanity-checks it isn't systematically over- or under-predicting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Target: recall at or above ~99.5% at a bounded average candidate count per entity. Past that point additional candidates mostly add false-merge risk under a precision-weighted metric, without moving the recall ceiling meaningfully.</w:t>
      </w:r>
    </w:p>
    <w:p>
      <w:pPr>
        <w:pStyle w:val="Heading1"/>
        <w:pBdr>
          <w:bottom w:val="single" w:color="B12704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5. Model Architecture and Feature Engineering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B12704"/>
          <w:sz w:val="25"/>
          <w:szCs w:val="25"/>
        </w:rPr>
        <w:t xml:space="preserve">5.1 Feature Groups (~60 features per candidate pair)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00"/>
      </w:tblGrid>
      <w:tr>
        <w:trPr>
          <w:tblHeader/>
        </w:trPr>
        <w:tc>
          <w:tcPr>
            <w:tcW w:type="dxa" w:w="2300"/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7300"/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Name similarity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Levenshtein / Jaro-Winkler / token-set / token-sort ratios on normalized and core names</w:t>
            </w:r>
          </w:p>
        </w:tc>
      </w:tr>
      <w:tr>
        <w:tc>
          <w:tcPr>
            <w:tcW w:type="dxa" w:w="23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Rarity-weighted overlap</w:t>
            </w:r>
          </w:p>
        </w:tc>
        <w:tc>
          <w:tcPr>
            <w:tcW w:type="dxa" w:w="73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IDF-weighted token overlap (per country); max IDF among unmatched tokens — a rare token present in one name but not the other is the strongest “different business” signal (e.g. Acme Robotics vs Acme Foods)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Structural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Acronym match, legal-form conflict, digit/number-token conflict in the name</w:t>
            </w:r>
          </w:p>
        </w:tc>
      </w:tr>
      <w:tr>
        <w:tc>
          <w:tcPr>
            <w:tcW w:type="dxa" w:w="23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Address similarity</w:t>
            </w:r>
          </w:p>
        </w:tc>
        <w:tc>
          <w:tcPr>
            <w:tcW w:type="dxa" w:w="73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Fuzzy ratios on normalized address; postal-code exact/prefix match (missing-vs-mismatch kept distinct, not conflated); house-number set overlap; landmark flags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Rank / context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This pair's similarity rank and score gap vs the same S1's other candidates, and vs the same candidate's other S1 entities; mutual-best-match flag; how common the S1's core name is within its country (generic names need address corroboration)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rank/context group is, empirically on the reference implementation, the most informative — a pair's absolute similarity matters less than whether it is clearly the best option relative to the competition on both sides of the match.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B12704"/>
          <w:sz w:val="25"/>
          <w:szCs w:val="25"/>
        </w:rPr>
        <w:t xml:space="preserve">5.2 Baseline Model: LightGBM with Grouped Cross-Validation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Binary classifier over labeled candidate pairs, cross-validated with GroupKFold keyed by Source-1 entity id, so no entity's pairs span both the training and validation fold — an ungrouped split would let the model see other candidates for the same entity during “validation” and overstate its score.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B12704"/>
          <w:sz w:val="25"/>
          <w:szCs w:val="25"/>
        </w:rPr>
        <w:t xml:space="preserve">5.3 Planned Stage 2: Cross-Encoder and Stacking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Fine-tune a multilingual cross-encoder (candidate models: mDeBERTa-v3-base, XLM-R, multilingual-e5-base — each license-checked against the MIT/Apache-2.0, ≤8B-parameter constraint before use) directly on “name [SEP] address” pairs, using the blocking candidates as hard negatives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Produce out-of-fold cross-encoder probabilities and feed them into the GBM as an additional feature, rather than replacing it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a second-stage model on top of the first model's out-of-fold probabilities plus graph-style features: the candidate's best competing-entity probability and the margin to it, the entity's summed and second-best probabilities, and cluster support from the entity's other confident matches (fragments of the same real business tend to corroborate one another)</w:t>
      </w:r>
    </w:p>
    <w:p>
      <w:pPr>
        <w:pStyle w:val="Heading1"/>
        <w:pBdr>
          <w:bottom w:val="single" w:color="B12704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6. Decision Layer: From Pair Probabilities to Entity Predictions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is the stage most teams are expected to under-invest in, and the arithmetic in Section 2.2 suggests it is worth as much attention as the model itself.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B12704"/>
          <w:sz w:val="25"/>
          <w:szCs w:val="25"/>
        </w:rPr>
        <w:t xml:space="preserve">6.1 Exclusivity Constraint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Because Source 1 is deduplicated, a genuine Source-2/Source-3 record should belong to at most one Source-1 entity (confirmed against training ground truth in the diagnostics step). Enforcing this — keeping each candidate only under its single best-scoring Source-1 entity and zeroing it out elsewhere — removes a specific, common failure mode: two different businesses that happen to share an address or a similar name, both drawing the same candidate.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B12704"/>
          <w:sz w:val="25"/>
          <w:szCs w:val="25"/>
        </w:rPr>
        <w:t xml:space="preserve">6.2 Two Competing Decision Rules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pipeline implements both and selects whichever scores higher on held-out training data, per run: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Two-threshold rule: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higher bar t1 to accept an entity's best candidate at all, and a second, higher bar t2 for every additional candidate beyond the first — directly reflecting the asymmetric break-evens from Section 2.2. Both thresholds are grid-searched on out-of-fold predictions.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Expected-F0.5 set selection: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for each entity, treat the candidates' calibrated probabilities as independent match probabilities, and choose the top-k (including k = 0, i.e. singleton) that maximizes expected per-entity F0.5 under that model. This rule needs no tuned threshold, which makes it the safer default for a country with no training data (Section 7).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planned refinement adds a dedicated “does this entity have any match at all” classifier (features: best candidate probability, candidate count, top name/address scores) whose output anchors the k = 0 comparison, and calibrates pair probabilities (isotonic regression on out-of-fold predictions) before either decision rule runs, since expected-F0.5 selection is only as good as the probabilities it trusts.</w:t>
      </w:r>
    </w:p>
    <w:p>
      <w:pPr>
        <w:pStyle w:val="Heading1"/>
        <w:pBdr>
          <w:bottom w:val="single" w:color="B12704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7. Generalizing to an Unseen Country (France)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France appears only in the test set, so any France-specific tuning is untestable until submissions are spent on it. The pipeline is built to generalize by construction: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country is hard-coded anywhere in the pipeline; blocking, IDF weighting and features are all computed per country from whatever country labels are present in that split, so a new label needs no code change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Feature choices favor signals that are relative and language-light — rank/gap-vs-competitors, character n-grams, and IDF-weighted overlap — over anything that assumes English/Indian naming conventions specifically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leave-one-country-out check (train on the other countries, evaluate on the held-out one) is used throughout the challenge as a proxy for France, in addition to standard grouped cross-validation, and any change that helps in-domain but hurts the held-out country is treated as overfitting to the visible countries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threshold-free expected-F0.5 rule (Section 6.2) is preferred specifically for France, since its thresholds were never tuned on French data in the first place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Optional, conditional on the leave-one-country-out check actually validating it first: pseudo-label confident, mutually-best French test pairs at reduced sample weight and retrain</w:t>
      </w:r>
    </w:p>
    <w:p>
      <w:pPr>
        <w:pStyle w:val="Heading1"/>
        <w:pBdr>
          <w:bottom w:val="single" w:color="B12704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8. Design Decisions Considered and Rejected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00"/>
      </w:tblGrid>
      <w:tr>
        <w:trPr>
          <w:tblHeader/>
        </w:trPr>
        <w:tc>
          <w:tcPr>
            <w:tcW w:type="dxa" w:w="3500"/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Considered</w:t>
            </w:r>
          </w:p>
        </w:tc>
        <w:tc>
          <w:tcPr>
            <w:tcW w:type="dxa" w:w="6100"/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Rejected because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Hard-coding US/India-specific logic (or one-hot encoding country)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Breaks the moment France appears in test, and the rules explicitly prohibit assuming a closed country set</w:t>
            </w:r>
          </w:p>
        </w:tc>
      </w:tr>
      <w:tr>
        <w:tc>
          <w:tcPr>
            <w:tcW w:type="dxa" w:w="3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Independent per-pair thresholding with no entity-level logic</w:t>
            </w:r>
          </w:p>
        </w:tc>
        <w:tc>
          <w:tcPr>
            <w:tcW w:type="dxa" w:w="61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Ignores both the exclusivity constraint and the asymmetric break-even math in Section 2.2; leaves score on the table specifically on multi-match entities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Maximizing candidate count / recall without bound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Past ~99.5% recall, extra low-quality candidates mostly add false-merge risk under a precision-weighted metric and worsen the audited reduction ratio</w:t>
            </w:r>
          </w:p>
        </w:tc>
      </w:tr>
      <w:tr>
        <w:tc>
          <w:tcPr>
            <w:tcW w:type="dxa" w:w="35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 LLM judging every candidate pair directly</w:t>
            </w:r>
          </w:p>
        </w:tc>
        <w:tc>
          <w:tcPr>
            <w:tcW w:type="dxa" w:w="61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Too slow at this scale, and the 8B-parameter / open-license constraint rules out the strongest general-purpose models; a fine-tuned cross-encoder captures most of the achievable gain within the constraint</w:t>
            </w:r>
          </w:p>
        </w:tc>
      </w:tr>
    </w:tbl>
    <w:p>
      <w:pPr>
        <w:pStyle w:val="Heading1"/>
        <w:pBdr>
          <w:bottom w:val="single" w:color="B12704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9. Team Workflow and Timeline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B12704"/>
          <w:sz w:val="25"/>
          <w:szCs w:val="25"/>
        </w:rPr>
        <w:t xml:space="preserve">9.1 Roles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four workstreams read and write tables keyed on (source1_entity_id, candidate_entity_id), so they integrate without waiting on one another. A single shared fold assignment, generated once and used everywhere, keeps later stacking free of leakage.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100"/>
        <w:gridCol w:w="2200"/>
      </w:tblGrid>
      <w:tr>
        <w:trPr>
          <w:tblHeader/>
        </w:trPr>
        <w:tc>
          <w:tcPr>
            <w:tcW w:type="dxa" w:w="1300"/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100"/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200"/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Hands off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Normalization, additional blockers, abbreviation mining, recall-vs-candidate-count tuning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candidate_pairs.tsv</w:t>
            </w:r>
          </w:p>
        </w:tc>
      </w:tr>
      <w:tr>
        <w:tc>
          <w:tcPr>
            <w:tcW w:type="dxa" w:w="13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61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Feature engineering, GBM tuning, second-stage stacking, seed/model blending</w:t>
            </w:r>
          </w:p>
        </w:tc>
        <w:tc>
          <w:tcPr>
            <w:tcW w:type="dxa" w:w="22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Pair feature table + probabilities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Embedding blocker, cross-encoder fine-tuning, leave-one-country-out experiments, France strategy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Cross-encoder probabilities</w:t>
            </w:r>
          </w:p>
        </w:tc>
      </w:tr>
      <w:tr>
        <w:tc>
          <w:tcPr>
            <w:tcW w:type="dxa" w:w="13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61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Scoring harness, decision-layer tuning, calibration, submission packaging, validator, documentation</w:t>
            </w:r>
          </w:p>
        </w:tc>
        <w:tc>
          <w:tcPr>
            <w:tcW w:type="dxa" w:w="22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Final submission files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B12704"/>
          <w:sz w:val="25"/>
          <w:szCs w:val="25"/>
        </w:rPr>
        <w:t xml:space="preserve">9.2 Three-Day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800"/>
            <w:shd w:fill="1A1A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Day 1, hours 0–2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Run baseline on real data; review blocking/exclusivity/singleton diagnostics; submit an anchor score</w:t>
            </w:r>
          </w:p>
        </w:tc>
      </w:tr>
      <w:tr>
        <w:tc>
          <w:tcPr>
            <w:tcW w:type="dxa" w:w="26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Day 1, remainder</w:t>
            </w:r>
          </w:p>
        </w:tc>
        <w:tc>
          <w:tcPr>
            <w:tcW w:type="dxa" w:w="68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Split into workstreams A–D; 1–2 further submissions only for meaningful out-of-fold gains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Day 2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Merge new blockers/features; cross-encoder probabilities in by midday; stage-2 stacking; settle France strategy via leave-one-country-out</w:t>
            </w:r>
          </w:p>
        </w:tc>
      </w:tr>
      <w:tr>
        <w:tc>
          <w:tcPr>
            <w:tcW w:type="dxa" w:w="26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Day 3, until ~16:00</w:t>
            </w:r>
          </w:p>
        </w:tc>
        <w:tc>
          <w:tcPr>
            <w:tcW w:type="dxa" w:w="68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Feature freeze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Day 3, afternoon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Final blend of several model seeds; build submission zip from a tagged commit in parallel</w:t>
            </w:r>
          </w:p>
        </w:tc>
      </w:tr>
      <w:tr>
        <w:tc>
          <w:tcPr>
            <w:tcW w:type="dxa" w:w="26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Day 3, by ~21:00</w:t>
            </w:r>
          </w:p>
        </w:tc>
        <w:tc>
          <w:tcPr>
            <w:tcW w:type="dxa" w:w="6800"/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Final leaderboard submission (well before the 23:59 deadline)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Out-of-fold, grouped cross-validation scores are treated as the primary signal throughout — the public leaderboard covers only a subset of the test set and allows just five submissions a day, too few to tune reliably against.</w:t>
      </w:r>
    </w:p>
    <w:p>
      <w:pPr>
        <w:pStyle w:val="Heading1"/>
        <w:pBdr>
          <w:bottom w:val="single" w:color="B12704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10. Validation and Submission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Read all files with an explicit tab separator, string dtype, and NA-disabled parsing, so a business literally named “NA” or an empty match list is never silently corrupted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Source-1 test entity has exactly one output row, France included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matched_entity_ids is a subset of that entity's own candidate_entity_ids for every row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duplicate IDs within a list, and no duplicate source1_entity_id rows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 the official validation script before every leaderboard upload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submission corresponds to a tagged commit, logged with its out-of-fold score, so the final package can reproduce the exact file submitted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requirements.txt pins dependency versions; README gives exact, copy-pasteable run commands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Final model(s) confirmed MIT/Apache-2.0 licensed and ≤ 8B parameters</w:t>
      </w:r>
    </w:p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This document is written to double as the methodology write-up required in the final submission package — Sections 2, 4, 5 and 6 map directly onto “methodology,” “blocking strategy,” and “model architecture and feature engineering.”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2026-09-24T19:19:18.151Z</dcterms:created>
  <dcterms:modified xsi:type="dcterms:W3CDTF">2026-09-24T19:19:18.170Z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