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jc w:val="center"/>
      </w:pPr>
      <w:r>
        <w:rPr>
          <w:rFonts w:ascii="Arial" w:cs="Arial" w:eastAsia="Arial" w:hAnsi="Arial"/>
          <w:b/>
          <w:bCs/>
          <w:color w:val="4A235A"/>
          <w:sz w:val="80"/>
          <w:szCs w:val="80"/>
        </w:rPr>
        <w:t xml:space="preserve">MIRROR</w:t>
      </w:r>
    </w:p>
    <w:p>
      <w:pPr>
        <w:jc w:val="center"/>
      </w:pPr>
      <w:r>
        <w:rPr>
          <w:rFonts w:ascii="Arial" w:cs="Arial" w:eastAsia="Arial" w:hAnsi="Arial"/>
          <w:color w:val="7D3C98"/>
          <w:sz w:val="36"/>
          <w:szCs w:val="36"/>
        </w:rPr>
        <w:t xml:space="preserve">The Job Seeker's Reality Check App</w:t>
      </w:r>
    </w:p>
    <w:p>
      <w:pPr>
        <w:spacing w:after="120"/>
      </w:pPr>
      <w:r>
        <w:t xml:space="preserve"/>
      </w:r>
    </w:p>
    <w:p>
      <w:pPr>
        <w:pBdr>
          <w:bottom w:val="single" w:color="7D3C98" w:sz="6"/>
        </w:pBdr>
        <w:jc w:val="center"/>
      </w:pPr>
      <w:r>
        <w:t xml:space="preserve"/>
      </w:r>
    </w:p>
    <w:p>
      <w:pPr>
        <w:spacing w:after="120"/>
      </w:pPr>
      <w:r>
        <w:t xml:space="preserve"/>
      </w:r>
    </w:p>
    <w:p>
      <w:pPr>
        <w:jc w:val="center"/>
      </w:pPr>
      <w:r>
        <w:rPr>
          <w:b/>
          <w:bCs/>
          <w:color w:val="4A235A"/>
          <w:sz w:val="28"/>
          <w:szCs w:val="28"/>
        </w:rPr>
        <w:t xml:space="preserve">BUSINESS MODEL DOCUMENT</w:t>
      </w:r>
    </w:p>
    <w:p>
      <w:pPr>
        <w:spacing w:after="120"/>
      </w:pPr>
      <w:r>
        <w:t xml:space="preserve"/>
      </w:r>
    </w:p>
    <w:p>
      <w:pPr>
        <w:spacing w:after="120"/>
      </w:pPr>
      <w:r>
        <w:t xml:space="preserve"/>
      </w:r>
    </w:p>
    <w:p>
      <w:pPr>
        <w:jc w:val="center"/>
      </w:pPr>
      <w:r>
        <w:rPr>
          <w:color w:val="555555"/>
          <w:sz w:val="24"/>
          <w:szCs w:val="24"/>
        </w:rPr>
        <w:t xml:space="preserve">Freemium to B2B Data Flywheel Strategy</w:t>
      </w:r>
    </w:p>
    <w:p>
      <w:pPr>
        <w:jc w:val="center"/>
      </w:pPr>
      <w:r>
        <w:rPr>
          <w:color w:val="888888"/>
          <w:sz w:val="22"/>
          <w:szCs w:val="22"/>
        </w:rPr>
        <w:t xml:space="preserve">Version 1.0  |  April 2026  |  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4A235A"/>
        </w:rPr>
        <w:t xml:space="preserve">1. Business Overview</w:t>
      </w:r>
    </w:p>
    <w:p>
      <w:pPr>
        <w:pBdr>
          <w:bottom w:val="single" w:color="7D3C98" w:sz="4" w:space="1"/>
        </w:pBdr>
        <w:spacing w:after="200"/>
      </w:pPr>
      <w:r>
        <w:t xml:space="preserve"/>
      </w:r>
    </w:p>
    <w:p>
      <w:pPr>
        <w:spacing w:after="160"/>
      </w:pPr>
      <w:r>
        <w:t xml:space="preserve">Mirror operates a three-stage business model that transforms individual career intelligence into a high-value B2B data product. The model is built on a simple but powerful insight: if you help enough job seekers get honest, actionable career guidance, you accumulate the most granular, real-time talent supply dataset in the world — and companies will pay premium prices for access to that intelligence.</w:t>
      </w:r>
    </w:p>
    <w:p>
      <w:pPr>
        <w:spacing w:after="120"/>
      </w:pPr>
      <w:r>
        <w:t xml:space="preserve"/>
      </w:r>
    </w:p>
    <w:p>
      <w:pPr>
        <w:spacing w:after="160"/>
      </w:pPr>
      <w:r>
        <w:rPr>
          <w:b/>
          <w:bCs/>
        </w:rPr>
        <w:t xml:space="preserve">The three stages are sequenced deliberately:</w:t>
      </w:r>
    </w:p>
    <w:p>
      <w:pPr>
        <w:pStyle w:val="ListParagraph"/>
        <w:numPr>
          <w:ilvl w:val="0"/>
          <w:numId w:val="2"/>
        </w:numPr>
        <w:spacing w:after="80"/>
      </w:pPr>
      <w:r>
        <w:t xml:space="preserve">Stage 1 — Grow: Onboard a large user base via a genuinely valuable free tier (10 use cases)</w:t>
      </w:r>
    </w:p>
    <w:p>
      <w:pPr>
        <w:pStyle w:val="ListParagraph"/>
        <w:numPr>
          <w:ilvl w:val="0"/>
          <w:numId w:val="2"/>
        </w:numPr>
        <w:spacing w:after="80"/>
      </w:pPr>
      <w:r>
        <w:t xml:space="preserve">Stage 2 — Monetise: Convert a percentage of users to paid premium subscriptions (30 use cases with LLM)</w:t>
      </w:r>
    </w:p>
    <w:p>
      <w:pPr>
        <w:pStyle w:val="ListParagraph"/>
        <w:numPr>
          <w:ilvl w:val="0"/>
          <w:numId w:val="2"/>
        </w:numPr>
        <w:spacing w:after="80"/>
      </w:pPr>
      <w:r>
        <w:t xml:space="preserve">Stage 3 — Scale: Package aggregated, anonymised talent data into B2B intelligence products for employers, recruiters, and HR firms</w:t>
      </w:r>
    </w:p>
    <w:p>
      <w:pPr>
        <w:spacing w:after="120"/>
      </w:pPr>
      <w:r>
        <w:t xml:space="preserve"/>
      </w:r>
    </w:p>
    <w:p>
      <w:pPr>
        <w:spacing w:after="160"/>
      </w:pPr>
      <w:r>
        <w:t xml:space="preserve">This is a data flywheel. Every new user who joins makes the dataset richer, makes the B2B product more valuable, and creates more revenue to fund better free features — which attracts more users. The flywheel accelerates over time.</w:t>
      </w:r>
    </w:p>
    <w:p>
      <w:r>
        <w:br w:type="page"/>
      </w:r>
    </w:p>
    <w:p>
      <w:pPr>
        <w:pStyle w:val="Heading1"/>
      </w:pPr>
      <w:r>
        <w:rPr>
          <w:b/>
          <w:bCs/>
          <w:color w:val="4A235A"/>
        </w:rPr>
        <w:t xml:space="preserve">2. The Data Flywheel Strategy</w:t>
      </w:r>
    </w:p>
    <w:p>
      <w:pPr>
        <w:pBdr>
          <w:bottom w:val="single" w:color="7D3C98" w:sz="4" w:space="1"/>
        </w:pBdr>
        <w:spacing w:after="200"/>
      </w:pPr>
      <w:r>
        <w:t xml:space="preserve"/>
      </w:r>
    </w:p>
    <w:p>
      <w:pPr>
        <w:spacing w:after="160"/>
      </w:pPr>
      <w:r>
        <w:t xml:space="preserve">The single most important strategic asset Mirror builds is its talent intelligence dataset. Unlike traditional career platforms that treat user data as a byproduct, Mirror treats it as its core product. Here is why this is a defensible, compounding competitive advantage.</w:t>
      </w:r>
    </w:p>
    <w:p>
      <w:pPr>
        <w:spacing w:after="120"/>
      </w:pPr>
      <w:r>
        <w:t xml:space="preserve"/>
      </w:r>
    </w:p>
    <w:p>
      <w:pPr>
        <w:pStyle w:val="Heading2"/>
      </w:pPr>
      <w:r>
        <w:rPr>
          <w:b/>
          <w:bCs/>
          <w:color w:val="7D3C98"/>
        </w:rPr>
        <w:t xml:space="preserve">2.1 The Flywheel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1</w:t>
            </w:r>
          </w:p>
        </w:tc>
        <w:tc>
          <w:tcPr>
            <w:tcW w:type="dxa" w:w="8360"/>
            <w:tcBorders>
              <w:top w:val="none" w:color="FFFFFF" w:sz="0"/>
              <w:left w:val="none" w:color="FFFFFF" w:sz="0"/>
              <w:bottom w:val="none" w:color="FFFFFF" w:sz="0"/>
              <w:right w:val="none" w:color="FFFFFF" w:sz="0"/>
            </w:tcBorders>
            <w:shd w:fill="F4ECF7" w:val="clear"/>
            <w:tcMar>
              <w:top w:type="dxa" w:w="100"/>
              <w:left w:type="dxa" w:w="200"/>
              <w:bottom w:type="dxa" w:w="100"/>
              <w:right w:type="dxa" w:w="160"/>
            </w:tcMar>
          </w:tcPr>
          <w:p>
            <w:r>
              <w:t xml:space="preserve">More users sign up for the free tier, attracted by the genuine value of the Mirror Score and 10 free use cases.</w:t>
            </w:r>
          </w:p>
        </w:tc>
      </w:tr>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2</w:t>
            </w:r>
          </w:p>
        </w:tc>
        <w:tc>
          <w:tcPr>
            <w:tcW w:type="dxa" w:w="8360"/>
            <w:tcBorders>
              <w:top w:val="none" w:color="FFFFFF" w:sz="0"/>
              <w:left w:val="none" w:color="FFFFFF" w:sz="0"/>
              <w:bottom w:val="none" w:color="FFFFFF" w:sz="0"/>
              <w:right w:val="none" w:color="FFFFFF" w:sz="0"/>
            </w:tcBorders>
            <w:shd w:fill="EBF2FA" w:val="clear"/>
            <w:tcMar>
              <w:top w:type="dxa" w:w="100"/>
              <w:left w:type="dxa" w:w="200"/>
              <w:bottom w:type="dxa" w:w="100"/>
              <w:right w:type="dxa" w:w="160"/>
            </w:tcMar>
          </w:tcPr>
          <w:p>
            <w:r>
              <w:t xml:space="preserve">Each user submits their resume, skills, target roles, and location — building the talent supply dataset.</w:t>
            </w:r>
          </w:p>
        </w:tc>
      </w:tr>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3</w:t>
            </w:r>
          </w:p>
        </w:tc>
        <w:tc>
          <w:tcPr>
            <w:tcW w:type="dxa" w:w="8360"/>
            <w:tcBorders>
              <w:top w:val="none" w:color="FFFFFF" w:sz="0"/>
              <w:left w:val="none" w:color="FFFFFF" w:sz="0"/>
              <w:bottom w:val="none" w:color="FFFFFF" w:sz="0"/>
              <w:right w:val="none" w:color="FFFFFF" w:sz="0"/>
            </w:tcBorders>
            <w:shd w:fill="F4ECF7" w:val="clear"/>
            <w:tcMar>
              <w:top w:type="dxa" w:w="100"/>
              <w:left w:type="dxa" w:w="200"/>
              <w:bottom w:type="dxa" w:w="100"/>
              <w:right w:type="dxa" w:w="160"/>
            </w:tcMar>
          </w:tcPr>
          <w:p>
            <w:r>
              <w:t xml:space="preserve">The platform tracks which skills users acquire, which courses they take, and how their scores improve over time.</w:t>
            </w:r>
          </w:p>
        </w:tc>
      </w:tr>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4</w:t>
            </w:r>
          </w:p>
        </w:tc>
        <w:tc>
          <w:tcPr>
            <w:tcW w:type="dxa" w:w="8360"/>
            <w:tcBorders>
              <w:top w:val="none" w:color="FFFFFF" w:sz="0"/>
              <w:left w:val="none" w:color="FFFFFF" w:sz="0"/>
              <w:bottom w:val="none" w:color="FFFFFF" w:sz="0"/>
              <w:right w:val="none" w:color="FFFFFF" w:sz="0"/>
            </w:tcBorders>
            <w:shd w:fill="EBF2FA" w:val="clear"/>
            <w:tcMar>
              <w:top w:type="dxa" w:w="100"/>
              <w:left w:type="dxa" w:w="200"/>
              <w:bottom w:type="dxa" w:w="100"/>
              <w:right w:type="dxa" w:w="160"/>
            </w:tcMar>
          </w:tcPr>
          <w:p>
            <w:r>
              <w:t xml:space="preserve">Users are ranked and segmented by skill proficiency, role type, geography, and career stage.</w:t>
            </w:r>
          </w:p>
        </w:tc>
      </w:tr>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5</w:t>
            </w:r>
          </w:p>
        </w:tc>
        <w:tc>
          <w:tcPr>
            <w:tcW w:type="dxa" w:w="8360"/>
            <w:tcBorders>
              <w:top w:val="none" w:color="FFFFFF" w:sz="0"/>
              <w:left w:val="none" w:color="FFFFFF" w:sz="0"/>
              <w:bottom w:val="none" w:color="FFFFFF" w:sz="0"/>
              <w:right w:val="none" w:color="FFFFFF" w:sz="0"/>
            </w:tcBorders>
            <w:shd w:fill="F4ECF7" w:val="clear"/>
            <w:tcMar>
              <w:top w:type="dxa" w:w="100"/>
              <w:left w:type="dxa" w:w="200"/>
              <w:bottom w:type="dxa" w:w="100"/>
              <w:right w:type="dxa" w:w="160"/>
            </w:tcMar>
          </w:tcPr>
          <w:p>
            <w:r>
              <w:t xml:space="preserve">This creates a live, structured talent inventory: who has what skills, at what level, looking for what roles, where.</w:t>
            </w:r>
          </w:p>
        </w:tc>
      </w:tr>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6</w:t>
            </w:r>
          </w:p>
        </w:tc>
        <w:tc>
          <w:tcPr>
            <w:tcW w:type="dxa" w:w="8360"/>
            <w:tcBorders>
              <w:top w:val="none" w:color="FFFFFF" w:sz="0"/>
              <w:left w:val="none" w:color="FFFFFF" w:sz="0"/>
              <w:bottom w:val="none" w:color="FFFFFF" w:sz="0"/>
              <w:right w:val="none" w:color="FFFFFF" w:sz="0"/>
            </w:tcBorders>
            <w:shd w:fill="EBF2FA" w:val="clear"/>
            <w:tcMar>
              <w:top w:type="dxa" w:w="100"/>
              <w:left w:type="dxa" w:w="200"/>
              <w:bottom w:type="dxa" w:w="100"/>
              <w:right w:type="dxa" w:w="160"/>
            </w:tcMar>
          </w:tcPr>
          <w:p>
            <w:r>
              <w:t xml:space="preserve">B2B clients (employers, recruiters, workforce analytics firms) pay for access to this intelligence.</w:t>
            </w:r>
          </w:p>
        </w:tc>
      </w:tr>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7</w:t>
            </w:r>
          </w:p>
        </w:tc>
        <w:tc>
          <w:tcPr>
            <w:tcW w:type="dxa" w:w="8360"/>
            <w:tcBorders>
              <w:top w:val="none" w:color="FFFFFF" w:sz="0"/>
              <w:left w:val="none" w:color="FFFFFF" w:sz="0"/>
              <w:bottom w:val="none" w:color="FFFFFF" w:sz="0"/>
              <w:right w:val="none" w:color="FFFFFF" w:sz="0"/>
            </w:tcBorders>
            <w:shd w:fill="F4ECF7" w:val="clear"/>
            <w:tcMar>
              <w:top w:type="dxa" w:w="100"/>
              <w:left w:type="dxa" w:w="200"/>
              <w:bottom w:type="dxa" w:w="100"/>
              <w:right w:type="dxa" w:w="160"/>
            </w:tcMar>
          </w:tcPr>
          <w:p>
            <w:r>
              <w:t xml:space="preserve">B2B revenue funds better free features and more accurate LLM analysis — attracting more users.</w:t>
            </w:r>
          </w:p>
        </w:tc>
      </w:tr>
      <w:tr>
        <w:tc>
          <w:tcPr>
            <w:tcW w:type="dxa" w:w="1000"/>
            <w:tcBorders>
              <w:top w:val="none" w:color="FFFFFF" w:sz="0"/>
              <w:left w:val="none" w:color="FFFFFF" w:sz="0"/>
              <w:bottom w:val="none" w:color="FFFFFF" w:sz="0"/>
              <w:right w:val="none" w:color="FFFFFF" w:sz="0"/>
            </w:tcBorders>
            <w:shd w:fill="4A235A" w:val="clear"/>
            <w:tcMar>
              <w:top w:type="dxa" w:w="100"/>
              <w:left w:type="dxa" w:w="160"/>
              <w:bottom w:type="dxa" w:w="100"/>
              <w:right w:type="dxa" w:w="160"/>
            </w:tcMar>
            <w:vAlign w:val="center"/>
          </w:tcPr>
          <w:p>
            <w:pPr>
              <w:jc w:val="center"/>
            </w:pPr>
            <w:r>
              <w:rPr>
                <w:b/>
                <w:bCs/>
                <w:color w:val="FFFFFF"/>
                <w:sz w:val="28"/>
                <w:szCs w:val="28"/>
              </w:rPr>
              <w:t xml:space="preserve">8</w:t>
            </w:r>
          </w:p>
        </w:tc>
        <w:tc>
          <w:tcPr>
            <w:tcW w:type="dxa" w:w="8360"/>
            <w:tcBorders>
              <w:top w:val="none" w:color="FFFFFF" w:sz="0"/>
              <w:left w:val="none" w:color="FFFFFF" w:sz="0"/>
              <w:bottom w:val="none" w:color="FFFFFF" w:sz="0"/>
              <w:right w:val="none" w:color="FFFFFF" w:sz="0"/>
            </w:tcBorders>
            <w:shd w:fill="EBF2FA" w:val="clear"/>
            <w:tcMar>
              <w:top w:type="dxa" w:w="100"/>
              <w:left w:type="dxa" w:w="200"/>
              <w:bottom w:type="dxa" w:w="100"/>
              <w:right w:type="dxa" w:w="160"/>
            </w:tcMar>
          </w:tcPr>
          <w:p>
            <w:r>
              <w:t xml:space="preserve">The flywheel accelerates. The dataset grows. The B2B product becomes more valuable. Revenue grows.</w:t>
            </w:r>
          </w:p>
        </w:tc>
      </w:tr>
    </w:tbl>
    <w:p>
      <w:pPr>
        <w:spacing w:after="120"/>
      </w:pPr>
      <w:r>
        <w:t xml:space="preserve"/>
      </w:r>
    </w:p>
    <w:p>
      <w:pPr>
        <w:pStyle w:val="Heading2"/>
      </w:pPr>
      <w:r>
        <w:rPr>
          <w:b/>
          <w:bCs/>
          <w:color w:val="7D3C98"/>
        </w:rPr>
        <w:t xml:space="preserve">2.2 What Makes the Data Gold</w:t>
      </w:r>
    </w:p>
    <w:p>
      <w:pPr>
        <w:pStyle w:val="ListParagraph"/>
        <w:numPr>
          <w:ilvl w:val="0"/>
          <w:numId w:val="2"/>
        </w:numPr>
        <w:spacing w:after="80"/>
      </w:pPr>
      <w:r>
        <w:t xml:space="preserve">Depth: Each user profile contains structured skills, proficiency levels, career history, learning trajectory, and target roles — not just a job title</w:t>
      </w:r>
    </w:p>
    <w:p>
      <w:pPr>
        <w:pStyle w:val="ListParagraph"/>
        <w:numPr>
          <w:ilvl w:val="0"/>
          <w:numId w:val="2"/>
        </w:numPr>
        <w:spacing w:after="80"/>
      </w:pPr>
      <w:r>
        <w:t xml:space="preserve">Recency: Data is continuously updated as users improve skills and complete courses — not a static snapshot</w:t>
      </w:r>
    </w:p>
    <w:p>
      <w:pPr>
        <w:pStyle w:val="ListParagraph"/>
        <w:numPr>
          <w:ilvl w:val="0"/>
          <w:numId w:val="2"/>
        </w:numPr>
        <w:spacing w:after="80"/>
      </w:pPr>
      <w:r>
        <w:t xml:space="preserve">Verified demand signal: Skills are tagged against actual job postings, showing real employer demand vs. candidate supply</w:t>
      </w:r>
    </w:p>
    <w:p>
      <w:pPr>
        <w:pStyle w:val="ListParagraph"/>
        <w:numPr>
          <w:ilvl w:val="0"/>
          <w:numId w:val="2"/>
        </w:numPr>
        <w:spacing w:after="80"/>
      </w:pPr>
      <w:r>
        <w:t xml:space="preserve">Proficiency ranking: Users are ranked within skill categories — B2B clients know not just who has Python, but who has expert-level Python and is open to work</w:t>
      </w:r>
    </w:p>
    <w:p>
      <w:pPr>
        <w:pStyle w:val="ListParagraph"/>
        <w:numPr>
          <w:ilvl w:val="0"/>
          <w:numId w:val="2"/>
        </w:numPr>
        <w:spacing w:after="80"/>
      </w:pPr>
      <w:r>
        <w:t xml:space="preserve">Geographic granularity: Skills supply mapped by city and region — enabling hyper-local talent pipeline intelligence</w:t>
      </w:r>
    </w:p>
    <w:p>
      <w:pPr>
        <w:pStyle w:val="ListParagraph"/>
        <w:numPr>
          <w:ilvl w:val="0"/>
          <w:numId w:val="2"/>
        </w:numPr>
        <w:spacing w:after="80"/>
      </w:pPr>
      <w:r>
        <w:t xml:space="preserve">Predictive signal: Users who have just completed a certification show up in the dataset before they are hired — giving B2B clients early access to rising talent</w:t>
      </w:r>
    </w:p>
    <w:p>
      <w:r>
        <w:br w:type="page"/>
      </w:r>
    </w:p>
    <w:p>
      <w:pPr>
        <w:pStyle w:val="Heading1"/>
      </w:pPr>
      <w:r>
        <w:rPr>
          <w:b/>
          <w:bCs/>
          <w:color w:val="4A235A"/>
        </w:rPr>
        <w:t xml:space="preserve">3. Free Tier — Onboarding Engine</w:t>
      </w:r>
    </w:p>
    <w:p>
      <w:pPr>
        <w:pBdr>
          <w:bottom w:val="single" w:color="7D3C98" w:sz="4" w:space="1"/>
        </w:pBdr>
        <w:spacing w:after="200"/>
      </w:pPr>
      <w:r>
        <w:t xml:space="preserve"/>
      </w:r>
    </w:p>
    <w:p>
      <w:pPr>
        <w:spacing w:after="160"/>
      </w:pPr>
      <w:r>
        <w:t xml:space="preserve">The free tier is not a crippled product. It is a carefully designed value delivery mechanism that shows users exactly what Mirror can do — and leaves them wanting more. The goal is to create a visceral 'wow moment' within the first 5 minutes.</w:t>
      </w:r>
    </w:p>
    <w:p>
      <w:pPr>
        <w:spacing w:after="120"/>
      </w:pPr>
      <w:r>
        <w:t xml:space="preserve"/>
      </w:r>
    </w:p>
    <w:p>
      <w:pPr>
        <w:pStyle w:val="Heading2"/>
      </w:pPr>
      <w:r>
        <w:rPr>
          <w:b/>
          <w:bCs/>
          <w:color w:val="7D3C98"/>
        </w:rPr>
        <w:t xml:space="preserve">3.1 The 10 Free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60"/>
        <w:gridCol w:w="3260"/>
      </w:tblGrid>
      <w:tr>
        <w:tc>
          <w:tcPr>
            <w:tcW w:type="dxa" w:w="234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Use Case</w:t>
            </w:r>
          </w:p>
        </w:tc>
        <w:tc>
          <w:tcPr>
            <w:tcW w:type="dxa" w:w="37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Value Delivered to User</w:t>
            </w:r>
          </w:p>
        </w:tc>
        <w:tc>
          <w:tcPr>
            <w:tcW w:type="dxa" w:w="32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Value to Mirror (Data Collected)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F1: Resume Scan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Immediate quality score and top 3 fixes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resume parsed → skills, experience, education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F2: ATS Check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Pass/fail on ATS compatibility with fix list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Document format metadata, ATS patterns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F3: Skills Inventory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Complete list of skills with taxonomy mapping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Verified skill set at signup — core dataset entry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F4: Job Title Match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match with target role expectations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Target role declared → maps user to job market segment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F5: Single Job Gap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Gap against a specific job posting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Which roles users aspire to; which skills are most missing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F6: Top 3 Gaps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Highest-impact missing skills identified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Skill gap data by role — actionable for B2B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F7: LinkedIn Audit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Section-by-section LinkedIn score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Online presence quality; engagement readiness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F8: Salary Estimate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Realistic salary range for current profile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Compensation expectations by role + skills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F9: Mirror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Composite 0-100 career readiness score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Baseline proficiency benchmark for the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F10: Priority 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One concrete action to take this week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Behavioural response data; conversion trigger</w:t>
            </w:r>
          </w:p>
        </w:tc>
      </w:tr>
    </w:tbl>
    <w:p>
      <w:pPr>
        <w:spacing w:after="120"/>
      </w:pPr>
      <w:r>
        <w:t xml:space="preserve"/>
      </w:r>
    </w:p>
    <w:p>
      <w:pPr>
        <w:pStyle w:val="Heading2"/>
      </w:pPr>
      <w:r>
        <w:rPr>
          <w:b/>
          <w:bCs/>
          <w:color w:val="7D3C98"/>
        </w:rPr>
        <w:t xml:space="preserve">3.2 Free Tier Conversion Strategy</w:t>
      </w:r>
    </w:p>
    <w:p>
      <w:pPr>
        <w:spacing w:after="160"/>
      </w:pPr>
      <w:r>
        <w:t xml:space="preserve">The free tier is designed to create a 'cliffhanger' — users get enough to see the problem clearly but need premium to solve it.</w:t>
      </w:r>
    </w:p>
    <w:p>
      <w:pPr>
        <w:pStyle w:val="ListParagraph"/>
        <w:numPr>
          <w:ilvl w:val="0"/>
          <w:numId w:val="2"/>
        </w:numPr>
        <w:spacing w:after="80"/>
      </w:pPr>
      <w:r>
        <w:t xml:space="preserve">After F5 (Single Job Gap), users are shown a preview of what Multi-Role Gap Analysis (P1) would reveal</w:t>
      </w:r>
    </w:p>
    <w:p>
      <w:pPr>
        <w:pStyle w:val="ListParagraph"/>
        <w:numPr>
          <w:ilvl w:val="0"/>
          <w:numId w:val="2"/>
        </w:numPr>
        <w:spacing w:after="80"/>
      </w:pPr>
      <w:r>
        <w:t xml:space="preserve">After F6 (Top 3 Gaps), users see a locked learning roadmap that would be unlocked with premium</w:t>
      </w:r>
    </w:p>
    <w:p>
      <w:pPr>
        <w:pStyle w:val="ListParagraph"/>
        <w:numPr>
          <w:ilvl w:val="0"/>
          <w:numId w:val="2"/>
        </w:numPr>
        <w:spacing w:after="80"/>
      </w:pPr>
      <w:r>
        <w:t xml:space="preserve">After F9 (Mirror Score), users see the breakdown but need premium for the detailed action plan</w:t>
      </w:r>
    </w:p>
    <w:p>
      <w:pPr>
        <w:pStyle w:val="ListParagraph"/>
        <w:numPr>
          <w:ilvl w:val="0"/>
          <w:numId w:val="2"/>
        </w:numPr>
        <w:spacing w:after="80"/>
      </w:pPr>
      <w:r>
        <w:t xml:space="preserve">F10 (Priority Action) always recommends the most impactful premium feature for that user — a personalised upgrade prompt</w:t>
      </w:r>
    </w:p>
    <w:p>
      <w:pPr>
        <w:pStyle w:val="ListParagraph"/>
        <w:numPr>
          <w:ilvl w:val="0"/>
          <w:numId w:val="2"/>
        </w:numPr>
        <w:spacing w:after="80"/>
      </w:pPr>
      <w:r>
        <w:t xml:space="preserve">In-app upgrade prompts are contextual, not generic: 'You're 12 points away from a recruiter-ready profile. Here's what premium unlocks for you specifically.'</w:t>
      </w:r>
    </w:p>
    <w:p>
      <w:r>
        <w:br w:type="page"/>
      </w:r>
    </w:p>
    <w:p>
      <w:pPr>
        <w:pStyle w:val="Heading1"/>
      </w:pPr>
      <w:r>
        <w:rPr>
          <w:b/>
          <w:bCs/>
          <w:color w:val="4A235A"/>
        </w:rPr>
        <w:t xml:space="preserve">4. Premium Tier — Monetisation Engine</w:t>
      </w:r>
    </w:p>
    <w:p>
      <w:pPr>
        <w:pBdr>
          <w:bottom w:val="single" w:color="7D3C98" w:sz="4" w:space="1"/>
        </w:pBdr>
        <w:spacing w:after="200"/>
      </w:pPr>
      <w:r>
        <w:t xml:space="preserve"/>
      </w:r>
    </w:p>
    <w:p>
      <w:pPr>
        <w:spacing w:after="160"/>
      </w:pPr>
      <w:r>
        <w:t xml:space="preserve">The premium tier delivers the full power of Mirror's LLM stack. It is designed to be so valuable that the price feels like an obvious yes compared to the cost of remaining stuck in the job search.</w:t>
      </w:r>
    </w:p>
    <w:p>
      <w:pPr>
        <w:spacing w:after="120"/>
      </w:pPr>
      <w:r>
        <w:t xml:space="preserve"/>
      </w:r>
    </w:p>
    <w:p>
      <w:pPr>
        <w:pStyle w:val="Heading2"/>
      </w:pPr>
      <w:r>
        <w:rPr>
          <w:b/>
          <w:bCs/>
          <w:color w:val="7D3C98"/>
        </w:rPr>
        <w:t xml:space="preserve">4.1 Premium Value Proposition</w:t>
      </w:r>
    </w:p>
    <w:p>
      <w:pPr>
        <w:spacing w:after="160"/>
      </w:pPr>
      <w:r>
        <w:t xml:space="preserve">The average job seeker in the US spends 5 months actively searching. At a median hourly opportunity cost of $30/hour and 10 hours/week of job search activity, that is $6,500 in lost productive time. Mirror Premium, at $29/month, costs less than a single day of that wasted time — and aims to cut the search by weeks.</w:t>
      </w:r>
    </w:p>
    <w:p>
      <w:pPr>
        <w:spacing w:after="120"/>
      </w:pPr>
      <w:r>
        <w:t xml:space="preserve"/>
      </w:r>
    </w:p>
    <w:p>
      <w:pPr>
        <w:pStyle w:val="Heading2"/>
      </w:pPr>
      <w:r>
        <w:rPr>
          <w:b/>
          <w:bCs/>
          <w:color w:val="7D3C98"/>
        </w:rPr>
        <w:t xml:space="preserve">4.2 The 30 Premium Use Cases — Grouped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Category</w:t>
            </w:r>
          </w:p>
        </w:tc>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Use Cases</w:t>
            </w:r>
          </w:p>
        </w:tc>
        <w:tc>
          <w:tcPr>
            <w:tcW w:type="dxa" w:w="45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Key Value Delivered</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Deep Profile Intelligence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7D3C98"/>
              </w:rPr>
              <w:t xml:space="preserve">P1–P6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Multi-role fit analysis, narrative reframing, recruiter red flag audit, full LinkedIn rewrite — eliminates guesswork about fit</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Personalised Learning Roadmap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7D3C98"/>
              </w:rPr>
              <w:t xml:space="preserve">P7–P12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30/60/90-day plan, curated courses, portfolio project ideas, milestone tracking — turns 'I don't know where to start' into a clear daily plan</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Application &amp; Interview Readiness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7D3C98"/>
              </w:rPr>
              <w:t xml:space="preserve">P13–P18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Cover letter generation, resume tailoring, interview Q&amp;A coaching, STAR answer builder — wins more interviews</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Market Intelligence &amp; 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7D3C98"/>
              </w:rPr>
              <w:t xml:space="preserve">P19–P24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Job market pulse, company deep-dives, success predictor, negotiation simulator — strategic edge in every application</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AI Coaching &amp; Motivation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7D3C98"/>
              </w:rPr>
              <w:t xml:space="preserve">P25–P30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coach sessions, accountability tracking, rejection analysis, confidence audit — addresses the emotional and motivational dimension of job search</w:t>
            </w:r>
          </w:p>
        </w:tc>
      </w:tr>
    </w:tbl>
    <w:p>
      <w:r>
        <w:br w:type="page"/>
      </w:r>
    </w:p>
    <w:p>
      <w:pPr>
        <w:pStyle w:val="Heading1"/>
      </w:pPr>
      <w:r>
        <w:rPr>
          <w:b/>
          <w:bCs/>
          <w:color w:val="4A235A"/>
        </w:rPr>
        <w:t xml:space="preserve">5. B2B Talent Intelligence Product</w:t>
      </w:r>
    </w:p>
    <w:p>
      <w:pPr>
        <w:pBdr>
          <w:bottom w:val="single" w:color="7D3C98" w:sz="4" w:space="1"/>
        </w:pBdr>
        <w:spacing w:after="200"/>
      </w:pPr>
      <w:r>
        <w:t xml:space="preserve"/>
      </w:r>
    </w:p>
    <w:p>
      <w:pPr>
        <w:spacing w:after="160"/>
      </w:pPr>
      <w:r>
        <w:t xml:space="preserve">Once Mirror has onboarded significant user volume (target: 50,000+ MAU), the B2B intelligence product activates. This is the highest-margin revenue stream and the long-term engine of Mirror's valuation.</w:t>
      </w:r>
    </w:p>
    <w:p>
      <w:pPr>
        <w:spacing w:after="120"/>
      </w:pPr>
      <w:r>
        <w:t xml:space="preserve"/>
      </w:r>
    </w:p>
    <w:p>
      <w:pPr>
        <w:pStyle w:val="Heading2"/>
      </w:pPr>
      <w:r>
        <w:rPr>
          <w:b/>
          <w:bCs/>
          <w:color w:val="7D3C98"/>
        </w:rPr>
        <w:t xml:space="preserve">5.1 What B2B Clients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Intelligence Product</w:t>
            </w:r>
          </w:p>
        </w:tc>
        <w:tc>
          <w:tcPr>
            <w:tcW w:type="dxa" w:w="3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What It Shows</w:t>
            </w:r>
          </w:p>
        </w:tc>
        <w:tc>
          <w:tcPr>
            <w:tcW w:type="dxa" w:w="3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Who Buys It</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Talent Supply Heatmap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map of available candidates by skill, seniority, and location — updated daily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Tech companies, staffing agencies, RPO firms</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Skill Gap Market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Which skills are most in demand vs. most lacking in the candidate market, by role and region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HR analytics teams, workforce consultancies</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Rising Talent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Candidates who have just completed certifications or closed skill gaps — before they are hired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Fast-growing companies, executive search firms</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Compensation Benchmark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What candidates in specific skill profiles expect to earn — based on Mirror salary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Total rewards teams, compensation consultancies</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Skills Velocity Index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How fast different skills are being acquired in the market — early signal of supply changes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Workforce planners, L&amp;D strategy teams</w:t>
            </w:r>
          </w:p>
        </w:tc>
      </w:tr>
      <w:tr>
        <w:tc>
          <w:tcPr>
            <w:tcW w:type="dxa" w:w="2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Candidate Quality Score Distribution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Mirror Score distribution by role type and geography — benchmarks hiring quality expectations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Talent acquisition leaders, boards</w:t>
            </w:r>
          </w:p>
        </w:tc>
      </w:tr>
    </w:tbl>
    <w:p>
      <w:pPr>
        <w:spacing w:after="120"/>
      </w:pPr>
      <w:r>
        <w:t xml:space="preserve"/>
      </w:r>
    </w:p>
    <w:p>
      <w:pPr>
        <w:pStyle w:val="Heading2"/>
      </w:pPr>
      <w:r>
        <w:rPr>
          <w:b/>
          <w:bCs/>
          <w:color w:val="7D3C98"/>
        </w:rPr>
        <w:t xml:space="preserve">5.2 B2B Delivery Mechanism</w:t>
      </w:r>
    </w:p>
    <w:p>
      <w:pPr>
        <w:pStyle w:val="ListParagraph"/>
        <w:numPr>
          <w:ilvl w:val="0"/>
          <w:numId w:val="2"/>
        </w:numPr>
        <w:spacing w:after="80"/>
      </w:pPr>
      <w:r>
        <w:t xml:space="preserve">Dashboard: Self-serve web dashboard for talent analytics teams — updated daily</w:t>
      </w:r>
    </w:p>
    <w:p>
      <w:pPr>
        <w:pStyle w:val="ListParagraph"/>
        <w:numPr>
          <w:ilvl w:val="0"/>
          <w:numId w:val="2"/>
        </w:numPr>
        <w:spacing w:after="80"/>
      </w:pPr>
      <w:r>
        <w:t xml:space="preserve">API: REST/GraphQL API for enterprises integrating Mirror data into their own ATS or HRIS</w:t>
      </w:r>
    </w:p>
    <w:p>
      <w:pPr>
        <w:pStyle w:val="ListParagraph"/>
        <w:numPr>
          <w:ilvl w:val="0"/>
          <w:numId w:val="2"/>
        </w:numPr>
        <w:spacing w:after="80"/>
      </w:pPr>
      <w:r>
        <w:t xml:space="preserve">Reports: Scheduled monthly/quarterly PDF intelligence reports — white-labelled for consulting firms</w:t>
      </w:r>
    </w:p>
    <w:p>
      <w:pPr>
        <w:pStyle w:val="ListParagraph"/>
        <w:numPr>
          <w:ilvl w:val="0"/>
          <w:numId w:val="2"/>
        </w:numPr>
        <w:spacing w:after="80"/>
      </w:pPr>
      <w:r>
        <w:t xml:space="preserve">Custom queries: For enterprise clients, custom data pulls on request (included in Enterprise tier)</w:t>
      </w:r>
    </w:p>
    <w:p>
      <w:pPr>
        <w:spacing w:after="120"/>
      </w:pPr>
      <w:r>
        <w:t xml:space="preserve"/>
      </w:r>
    </w:p>
    <w:p>
      <w:pPr>
        <w:pStyle w:val="Heading2"/>
      </w:pPr>
      <w:r>
        <w:rPr>
          <w:b/>
          <w:bCs/>
          <w:color w:val="7D3C98"/>
        </w:rPr>
        <w:t xml:space="preserve">5.3 Privacy Architecture for B2B</w:t>
      </w:r>
    </w:p>
    <w:p>
      <w:pPr>
        <w:pStyle w:val="ListParagraph"/>
        <w:numPr>
          <w:ilvl w:val="0"/>
          <w:numId w:val="2"/>
        </w:numPr>
        <w:spacing w:after="80"/>
      </w:pPr>
      <w:r>
        <w:t xml:space="preserve">Zero PII in B2B exports: Names, emails, and all identifying information are stripped before aggregation</w:t>
      </w:r>
    </w:p>
    <w:p>
      <w:pPr>
        <w:pStyle w:val="ListParagraph"/>
        <w:numPr>
          <w:ilvl w:val="0"/>
          <w:numId w:val="2"/>
        </w:numPr>
        <w:spacing w:after="80"/>
      </w:pPr>
      <w:r>
        <w:t xml:space="preserve">Minimum cohort size: No data point is surfaced if it relates to fewer than 50 users (prevents re-identification)</w:t>
      </w:r>
    </w:p>
    <w:p>
      <w:pPr>
        <w:pStyle w:val="ListParagraph"/>
        <w:numPr>
          <w:ilvl w:val="0"/>
          <w:numId w:val="2"/>
        </w:numPr>
        <w:spacing w:after="80"/>
      </w:pPr>
      <w:r>
        <w:t xml:space="preserve">User consent: All users explicitly opt in to anonymised data sharing at signup (GDPR/CCPA compliant)</w:t>
      </w:r>
    </w:p>
    <w:p>
      <w:pPr>
        <w:pStyle w:val="ListParagraph"/>
        <w:numPr>
          <w:ilvl w:val="0"/>
          <w:numId w:val="2"/>
        </w:numPr>
        <w:spacing w:after="80"/>
      </w:pPr>
      <w:r>
        <w:t xml:space="preserve">Opt-out respected: Users who opt out are excluded from all B2B data products without affecting their Mirror experience</w:t>
      </w:r>
    </w:p>
    <w:p>
      <w:r>
        <w:br w:type="page"/>
      </w:r>
    </w:p>
    <w:p>
      <w:pPr>
        <w:pStyle w:val="Heading1"/>
      </w:pPr>
      <w:r>
        <w:rPr>
          <w:b/>
          <w:bCs/>
          <w:color w:val="4A235A"/>
        </w:rPr>
        <w:t xml:space="preserve">6. Pricing Strategy</w:t>
      </w:r>
    </w:p>
    <w:p>
      <w:pPr>
        <w:pBdr>
          <w:bottom w:val="single" w:color="7D3C98" w:sz="4" w:space="1"/>
        </w:pBdr>
        <w:spacing w:after="200"/>
      </w:pPr>
      <w:r>
        <w:t xml:space="preserve"/>
      </w:r>
    </w:p>
    <w:p>
      <w:pPr>
        <w:pStyle w:val="Heading2"/>
      </w:pPr>
      <w:r>
        <w:rPr>
          <w:b/>
          <w:bCs/>
          <w:color w:val="7D3C98"/>
        </w:rPr>
        <w:t xml:space="preserve">6.1 B2C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b/>
                <w:bCs/>
                <w:color w:val="000000"/>
              </w:rPr>
              <w:t xml:space="preserve"/>
            </w:r>
          </w:p>
        </w:tc>
        <w:tc>
          <w:tcPr>
            <w:tcW w:type="dxa" w:w="234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b/>
                <w:bCs/>
                <w:color w:val="FFFFFF"/>
              </w:rPr>
              <w:t xml:space="preserve">Free</w:t>
            </w:r>
          </w:p>
        </w:tc>
        <w:tc>
          <w:tcPr>
            <w:tcW w:type="dxa" w:w="234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b/>
                <w:bCs/>
                <w:color w:val="FFFFFF"/>
              </w:rPr>
              <w:t xml:space="preserve">Premium</w:t>
            </w:r>
          </w:p>
        </w:tc>
        <w:tc>
          <w:tcPr>
            <w:tcW w:type="dxa" w:w="234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b/>
                <w:bCs/>
                <w:color w:val="FFFFFF"/>
              </w:rPr>
              <w:t xml:space="preserve">Premium Annual</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$0</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$29/month</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$199/year (43% saving)</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Use Cases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 free use cases</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All 40 use cases</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All 40 use cases</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LLM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Rule-based only</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Full GPT-4o + Claude access</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Full GPT-4o + Claude access</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Resume Tailoring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Not included</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Unlimited</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Unlimited</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AI Coach Sessions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Not included</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5 per month</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Unlimited</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Progress Reports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Basic score only</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Full monthly report</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Full monthly report</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Community forum</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Email support (48h SLA)</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Priority support (12h SLA)</w:t>
            </w:r>
          </w:p>
        </w:tc>
      </w:tr>
    </w:tbl>
    <w:p>
      <w:pPr>
        <w:spacing w:after="120"/>
      </w:pPr>
      <w:r>
        <w:t xml:space="preserve"/>
      </w:r>
    </w:p>
    <w:p>
      <w:pPr>
        <w:pStyle w:val="Heading2"/>
      </w:pPr>
      <w:r>
        <w:rPr>
          <w:b/>
          <w:bCs/>
          <w:color w:val="7D3C98"/>
        </w:rPr>
        <w:t xml:space="preserve">6.2 B2B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b/>
                <w:bCs/>
                <w:color w:val="000000"/>
              </w:rPr>
              <w:t xml:space="preserve"/>
            </w:r>
          </w:p>
        </w:tc>
        <w:tc>
          <w:tcPr>
            <w:tcW w:type="dxa" w:w="234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b/>
                <w:bCs/>
                <w:color w:val="FFFFFF"/>
              </w:rPr>
              <w:t xml:space="preserve">Starter</w:t>
            </w:r>
          </w:p>
        </w:tc>
        <w:tc>
          <w:tcPr>
            <w:tcW w:type="dxa" w:w="234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b/>
                <w:bCs/>
                <w:color w:val="FFFFFF"/>
              </w:rPr>
              <w:t xml:space="preserve">Professional</w:t>
            </w:r>
          </w:p>
        </w:tc>
        <w:tc>
          <w:tcPr>
            <w:tcW w:type="dxa" w:w="234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b/>
                <w:bCs/>
                <w:color w:val="FFFFFF"/>
              </w:rPr>
              <w:t xml:space="preserve">Enterprise</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Annual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$12,000/yr</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$36,000/yr</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$120,000+/yr</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Target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SMB, early-stage startups</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Mid-market companies, staffing firms</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Enterprise, RPO, consulting firms</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Dashboard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 user, 1 region</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5 users, 3 regions</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Unlimited users, all regions</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API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Not included</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Included (10K calls/month)</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Included (unlimited)</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Custom Reports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Not included</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2 per quarter</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On demand</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Data Freshness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Weekly refresh</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Daily refresh</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Real-time</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SLA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Best effort</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99.5% uptime</w:t>
            </w:r>
          </w:p>
        </w:tc>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t xml:space="preserve">99.9% uptime + dedicated CSM</w:t>
            </w:r>
          </w:p>
        </w:tc>
      </w:tr>
    </w:tbl>
    <w:p>
      <w:r>
        <w:br w:type="page"/>
      </w:r>
    </w:p>
    <w:p>
      <w:pPr>
        <w:pStyle w:val="Heading1"/>
      </w:pPr>
      <w:r>
        <w:rPr>
          <w:b/>
          <w:bCs/>
          <w:color w:val="4A235A"/>
        </w:rPr>
        <w:t xml:space="preserve">7. Unit Economics</w:t>
      </w:r>
    </w:p>
    <w:p>
      <w:pPr>
        <w:pBdr>
          <w:bottom w:val="single" w:color="7D3C98" w:sz="4" w:space="1"/>
        </w:pBdr>
        <w:spacing w:after="200"/>
      </w:pPr>
      <w:r>
        <w:t xml:space="preserve"/>
      </w:r>
    </w:p>
    <w:p>
      <w:pPr>
        <w:pStyle w:val="Heading2"/>
      </w:pPr>
      <w:r>
        <w:rPr>
          <w:b/>
          <w:bCs/>
          <w:color w:val="7D3C98"/>
        </w:rPr>
        <w:t xml:space="preserve">7.1 B2C SaaS Economics (Per Premium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Target (Year 1)</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Monthly subscription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$29 / month</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Average Revenue Per User (ARPU)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$29 / month</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Estimated LLM cost per premium user/month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$4 (at scale)</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Infrastructure cost per user/month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$1.50</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Gross margin per premium 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~83%</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Customer Acquisition Cost (CAC) — organic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$8 (content + SEO driven)</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Customer Acquisition Cost (CAC) — paid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$45 (paid social, search)</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Blended CAC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$25</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Average subscription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4 months (job search duration)</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Customer Lifetime Value (LTV) — monthly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$116 (4 months x $29)</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LTV:CAC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4.6:1 (target: &gt;3:1 — healthy)</w:t>
            </w:r>
          </w:p>
        </w:tc>
      </w:tr>
      <w:tr>
        <w:tc>
          <w:tcPr>
            <w:tcW w:type="dxa" w:w="4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t xml:space="preserve">Payback period (blended CAC)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rPr>
              <w:t xml:space="preserve">&lt; 1 month</w:t>
            </w:r>
          </w:p>
        </w:tc>
      </w:tr>
    </w:tbl>
    <w:p>
      <w:pPr>
        <w:spacing w:after="120"/>
      </w:pPr>
      <w:r>
        <w:t xml:space="preserve"/>
      </w:r>
    </w:p>
    <w:p>
      <w:pPr>
        <w:pStyle w:val="Heading2"/>
      </w:pPr>
      <w:r>
        <w:rPr>
          <w:b/>
          <w:bCs/>
          <w:color w:val="7D3C98"/>
        </w:rPr>
        <w:t xml:space="preserve">7.2 Key Conversion Assumptions</w:t>
      </w:r>
    </w:p>
    <w:p>
      <w:pPr>
        <w:pStyle w:val="ListParagraph"/>
        <w:numPr>
          <w:ilvl w:val="0"/>
          <w:numId w:val="2"/>
        </w:numPr>
        <w:spacing w:after="80"/>
      </w:pPr>
      <w:r>
        <w:t xml:space="preserve">Free-to-premium conversion rate: 5% (conservative) — 8% (target)</w:t>
      </w:r>
    </w:p>
    <w:p>
      <w:pPr>
        <w:pStyle w:val="ListParagraph"/>
        <w:numPr>
          <w:ilvl w:val="0"/>
          <w:numId w:val="2"/>
        </w:numPr>
        <w:spacing w:after="80"/>
      </w:pPr>
      <w:r>
        <w:t xml:space="preserve">Annual plan uptake among premium subscribers: 30% (drives lower churn, higher LTV)</w:t>
      </w:r>
    </w:p>
    <w:p>
      <w:pPr>
        <w:pStyle w:val="ListParagraph"/>
        <w:numPr>
          <w:ilvl w:val="0"/>
          <w:numId w:val="2"/>
        </w:numPr>
        <w:spacing w:after="80"/>
      </w:pPr>
      <w:r>
        <w:t xml:space="preserve">Monthly churn (premium): 25% (high — tied to job search lifecycle; mitigated by annual plans)</w:t>
      </w:r>
    </w:p>
    <w:p>
      <w:pPr>
        <w:pStyle w:val="ListParagraph"/>
        <w:numPr>
          <w:ilvl w:val="0"/>
          <w:numId w:val="2"/>
        </w:numPr>
        <w:spacing w:after="80"/>
      </w:pPr>
      <w:r>
        <w:t xml:space="preserve">Re-activation: 15% of churned users reactivate within 12 months for next job search</w:t>
      </w:r>
    </w:p>
    <w:p>
      <w:r>
        <w:br w:type="page"/>
      </w:r>
    </w:p>
    <w:p>
      <w:pPr>
        <w:pStyle w:val="Heading1"/>
      </w:pPr>
      <w:r>
        <w:rPr>
          <w:b/>
          <w:bCs/>
          <w:color w:val="4A235A"/>
        </w:rPr>
        <w:t xml:space="preserve">8. Financial Projections</w:t>
      </w:r>
    </w:p>
    <w:p>
      <w:pPr>
        <w:pBdr>
          <w:bottom w:val="single" w:color="7D3C98" w:sz="4" w:space="1"/>
        </w:pBdr>
        <w:spacing w:after="200"/>
      </w:pPr>
      <w:r>
        <w:t xml:space="preserve"/>
      </w:r>
    </w:p>
    <w:p>
      <w:pPr>
        <w:spacing w:after="160"/>
      </w:pPr>
      <w:r>
        <w:t xml:space="preserve">The following projections represent a Base Case scenario. They assume: organic-led growth supplemented by paid acquisition from Month 6; B2B sales motion launching at Month 13; no external funding required for first 18 months if premium conversion targets are met.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680"/>
        <w:gridCol w:w="2400"/>
        <w:gridCol w:w="2400"/>
      </w:tblGrid>
      <w:tr>
        <w:tc>
          <w:tcPr>
            <w:tcW w:type="dxa" w:w="1200"/>
            <w:tcBorders>
              <w:top w:val="single" w:color="CCCCCC" w:sz="1"/>
              <w:left w:val="single" w:color="CCCCCC" w:sz="1"/>
              <w:bottom w:val="single" w:color="CCCCCC" w:sz="1"/>
              <w:right w:val="single" w:color="CCCCCC" w:sz="1"/>
            </w:tcBorders>
            <w:shd w:fill="4A235A" w:val="clear"/>
            <w:tcMar>
              <w:top w:type="dxa" w:w="80"/>
              <w:left w:type="dxa" w:w="100"/>
              <w:bottom w:type="dxa" w:w="80"/>
              <w:right w:type="dxa" w:w="100"/>
            </w:tcMar>
          </w:tcPr>
          <w:p>
            <w:pPr>
              <w:jc w:val="left"/>
            </w:pPr>
            <w:r>
              <w:rPr>
                <w:b/>
                <w:bCs/>
                <w:color w:val="FFFFFF"/>
              </w:rPr>
              <w:t xml:space="preserve">Period</w:t>
            </w:r>
          </w:p>
        </w:tc>
        <w:tc>
          <w:tcPr>
            <w:tcW w:type="dxa" w:w="1680"/>
            <w:tcBorders>
              <w:top w:val="single" w:color="CCCCCC" w:sz="1"/>
              <w:left w:val="single" w:color="CCCCCC" w:sz="1"/>
              <w:bottom w:val="single" w:color="CCCCCC" w:sz="1"/>
              <w:right w:val="single" w:color="CCCCCC" w:sz="1"/>
            </w:tcBorders>
            <w:shd w:fill="4A235A" w:val="clear"/>
            <w:tcMar>
              <w:top w:type="dxa" w:w="80"/>
              <w:left w:type="dxa" w:w="100"/>
              <w:bottom w:type="dxa" w:w="80"/>
              <w:right w:type="dxa" w:w="100"/>
            </w:tcMar>
          </w:tcPr>
          <w:p>
            <w:pPr>
              <w:jc w:val="center"/>
            </w:pPr>
            <w:r>
              <w:rPr>
                <w:b/>
                <w:bCs/>
                <w:color w:val="FFFFFF"/>
              </w:rPr>
              <w:t xml:space="preserve">Free MAU</w:t>
            </w:r>
          </w:p>
        </w:tc>
        <w:tc>
          <w:tcPr>
            <w:tcW w:type="dxa" w:w="1680"/>
            <w:tcBorders>
              <w:top w:val="single" w:color="CCCCCC" w:sz="1"/>
              <w:left w:val="single" w:color="CCCCCC" w:sz="1"/>
              <w:bottom w:val="single" w:color="CCCCCC" w:sz="1"/>
              <w:right w:val="single" w:color="CCCCCC" w:sz="1"/>
            </w:tcBorders>
            <w:shd w:fill="4A235A" w:val="clear"/>
            <w:tcMar>
              <w:top w:type="dxa" w:w="80"/>
              <w:left w:type="dxa" w:w="100"/>
              <w:bottom w:type="dxa" w:w="80"/>
              <w:right w:type="dxa" w:w="100"/>
            </w:tcMar>
          </w:tcPr>
          <w:p>
            <w:pPr>
              <w:jc w:val="center"/>
            </w:pPr>
            <w:r>
              <w:rPr>
                <w:b/>
                <w:bCs/>
                <w:color w:val="FFFFFF"/>
              </w:rPr>
              <w:t xml:space="preserve">Premium Users</w:t>
            </w:r>
          </w:p>
        </w:tc>
        <w:tc>
          <w:tcPr>
            <w:tcW w:type="dxa" w:w="2400"/>
            <w:tcBorders>
              <w:top w:val="single" w:color="CCCCCC" w:sz="1"/>
              <w:left w:val="single" w:color="CCCCCC" w:sz="1"/>
              <w:bottom w:val="single" w:color="CCCCCC" w:sz="1"/>
              <w:right w:val="single" w:color="CCCCCC" w:sz="1"/>
            </w:tcBorders>
            <w:shd w:fill="4A235A" w:val="clear"/>
            <w:tcMar>
              <w:top w:type="dxa" w:w="80"/>
              <w:left w:type="dxa" w:w="100"/>
              <w:bottom w:type="dxa" w:w="80"/>
              <w:right w:type="dxa" w:w="100"/>
            </w:tcMar>
          </w:tcPr>
          <w:p>
            <w:pPr>
              <w:jc w:val="center"/>
            </w:pPr>
            <w:r>
              <w:rPr>
                <w:b/>
                <w:bCs/>
                <w:color w:val="FFFFFF"/>
              </w:rPr>
              <w:t xml:space="preserve">B2C MRR</w:t>
            </w:r>
          </w:p>
        </w:tc>
        <w:tc>
          <w:tcPr>
            <w:tcW w:type="dxa" w:w="2400"/>
            <w:tcBorders>
              <w:top w:val="single" w:color="CCCCCC" w:sz="1"/>
              <w:left w:val="single" w:color="CCCCCC" w:sz="1"/>
              <w:bottom w:val="single" w:color="CCCCCC" w:sz="1"/>
              <w:right w:val="single" w:color="CCCCCC" w:sz="1"/>
            </w:tcBorders>
            <w:shd w:fill="4A235A" w:val="clear"/>
            <w:tcMar>
              <w:top w:type="dxa" w:w="80"/>
              <w:left w:type="dxa" w:w="100"/>
              <w:bottom w:type="dxa" w:w="80"/>
              <w:right w:type="dxa" w:w="100"/>
            </w:tcMar>
          </w:tcPr>
          <w:p>
            <w:pPr>
              <w:jc w:val="center"/>
            </w:pPr>
            <w:r>
              <w:rPr>
                <w:b/>
                <w:bCs/>
                <w:color w:val="FFFFFF"/>
              </w:rPr>
              <w:t xml:space="preserve">B2B ARR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b w:val="false"/>
                <w:bCs w:val="false"/>
                <w:color w:val="000000"/>
              </w:rPr>
              <w:t xml:space="preserve">Month 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$2,900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b w:val="false"/>
                <w:bCs w:val="false"/>
                <w:color w:val="000000"/>
              </w:rPr>
              <w:t xml:space="preserve">Month 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20,000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$17,400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b w:val="false"/>
                <w:bCs w:val="false"/>
                <w:color w:val="000000"/>
              </w:rPr>
              <w:t xml:space="preserve">Month 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50,000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2,000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$58,000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b w:val="false"/>
                <w:bCs w:val="false"/>
                <w:color w:val="000000"/>
              </w:rPr>
              <w:t xml:space="preserve">Month 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100,000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$145,000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b w:val="false"/>
                <w:bCs w:val="false"/>
                <w:color w:val="000000"/>
              </w:rPr>
              <w:t xml:space="preserve">Month 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200,000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$290,000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$360,000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b w:val="false"/>
                <w:bCs w:val="false"/>
                <w:color w:val="000000"/>
              </w:rPr>
              <w:t xml:space="preserve">Month 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400,000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$580,000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$1,080,000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b w:val="false"/>
                <w:bCs w:val="false"/>
                <w:color w:val="000000"/>
              </w:rPr>
              <w:t xml:space="preserve">Month 24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1,000,000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50,000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$1,450,000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b w:val="false"/>
                <w:bCs w:val="false"/>
                <w:color w:val="000000"/>
              </w:rPr>
              <w:t xml:space="preserve">$3,600,000</w:t>
            </w:r>
          </w:p>
        </w:tc>
      </w:tr>
    </w:tbl>
    <w:p>
      <w:pPr>
        <w:spacing w:after="120"/>
      </w:pPr>
      <w:r>
        <w:t xml:space="preserve"/>
      </w:r>
    </w:p>
    <w:p>
      <w:pPr>
        <w:spacing w:after="160"/>
      </w:pPr>
      <w:r>
        <w:rPr>
          <w:i/>
          <w:iCs/>
          <w:color w:val="555555"/>
        </w:rPr>
        <w:t xml:space="preserve">Note: B2C MRR assumes blended ARPU of $29 (mix of monthly and annual subscribers). B2B ARR assumes average ACV of $36,000 (Professional tier average), starting with 10 clients at Month 13.</w:t>
      </w:r>
    </w:p>
    <w:p>
      <w:r>
        <w:br w:type="page"/>
      </w:r>
    </w:p>
    <w:p>
      <w:pPr>
        <w:pStyle w:val="Heading1"/>
      </w:pPr>
      <w:r>
        <w:rPr>
          <w:b/>
          <w:bCs/>
          <w:color w:val="4A235A"/>
        </w:rPr>
        <w:t xml:space="preserve">9. Go-to-Market Strategy</w:t>
      </w:r>
    </w:p>
    <w:p>
      <w:pPr>
        <w:pBdr>
          <w:bottom w:val="single" w:color="7D3C98" w:sz="4" w:space="1"/>
        </w:pBdr>
        <w:spacing w:after="200"/>
      </w:pPr>
      <w:r>
        <w:t xml:space="preserve"/>
      </w:r>
    </w:p>
    <w:p>
      <w:pPr>
        <w:pStyle w:val="Heading2"/>
      </w:pPr>
      <w:r>
        <w:rPr>
          <w:b/>
          <w:bCs/>
          <w:color w:val="7D3C98"/>
        </w:rPr>
        <w:t xml:space="preserve">9.1 Phase 1: Organic Growth (Months 1-6)</w:t>
      </w:r>
    </w:p>
    <w:p>
      <w:pPr>
        <w:pStyle w:val="ListParagraph"/>
        <w:numPr>
          <w:ilvl w:val="0"/>
          <w:numId w:val="2"/>
        </w:numPr>
        <w:spacing w:after="80"/>
      </w:pPr>
      <w:r>
        <w:t xml:space="preserve">Content marketing: SEO-focused blog targeting 'how to get a job as X', 'skills gap for Y role', 'ATS resume tips' — high-volume, high-intent keywords</w:t>
      </w:r>
    </w:p>
    <w:p>
      <w:pPr>
        <w:pStyle w:val="ListParagraph"/>
        <w:numPr>
          <w:ilvl w:val="0"/>
          <w:numId w:val="2"/>
        </w:numPr>
        <w:spacing w:after="80"/>
      </w:pPr>
      <w:r>
        <w:t xml:space="preserve">LinkedIn presence: Publish weekly data insights from the Mirror dataset ('The 5 skills most lacking in Data Analyst candidates right now')</w:t>
      </w:r>
    </w:p>
    <w:p>
      <w:pPr>
        <w:pStyle w:val="ListParagraph"/>
        <w:numPr>
          <w:ilvl w:val="0"/>
          <w:numId w:val="2"/>
        </w:numPr>
        <w:spacing w:after="80"/>
      </w:pPr>
      <w:r>
        <w:t xml:space="preserve">Product-led growth: Free tier is viral-ready — the Mirror Score is designed to be shareable ('I scored 68/100 on Mirror — here is where I need to improve')</w:t>
      </w:r>
    </w:p>
    <w:p>
      <w:pPr>
        <w:pStyle w:val="ListParagraph"/>
        <w:numPr>
          <w:ilvl w:val="0"/>
          <w:numId w:val="2"/>
        </w:numPr>
        <w:spacing w:after="80"/>
      </w:pPr>
      <w:r>
        <w:t xml:space="preserve">Community partnerships: Partner with coding bootcamps, universities, and career centres to offer Mirror to their graduates</w:t>
      </w:r>
    </w:p>
    <w:p>
      <w:pPr>
        <w:pStyle w:val="ListParagraph"/>
        <w:numPr>
          <w:ilvl w:val="0"/>
          <w:numId w:val="2"/>
        </w:numPr>
        <w:spacing w:after="80"/>
      </w:pPr>
      <w:r>
        <w:t xml:space="preserve">PR: Pitch to career media (The Muse, Fast Company, LinkedIn editorial) around 'the harsh truth about why candidates fail'</w:t>
      </w:r>
    </w:p>
    <w:p>
      <w:pPr>
        <w:spacing w:after="120"/>
      </w:pPr>
      <w:r>
        <w:t xml:space="preserve"/>
      </w:r>
    </w:p>
    <w:p>
      <w:pPr>
        <w:pStyle w:val="Heading2"/>
      </w:pPr>
      <w:r>
        <w:rPr>
          <w:b/>
          <w:bCs/>
          <w:color w:val="7D3C98"/>
        </w:rPr>
        <w:t xml:space="preserve">9.2 Phase 2: Paid Acquisition (Months 6-12)</w:t>
      </w:r>
    </w:p>
    <w:p>
      <w:pPr>
        <w:pStyle w:val="ListParagraph"/>
        <w:numPr>
          <w:ilvl w:val="0"/>
          <w:numId w:val="2"/>
        </w:numPr>
        <w:spacing w:after="80"/>
      </w:pPr>
      <w:r>
        <w:t xml:space="preserve">Meta and Instagram ads targeting job seekers in the US, UK, India, and Canada</w:t>
      </w:r>
    </w:p>
    <w:p>
      <w:pPr>
        <w:pStyle w:val="ListParagraph"/>
        <w:numPr>
          <w:ilvl w:val="0"/>
          <w:numId w:val="2"/>
        </w:numPr>
        <w:spacing w:after="80"/>
      </w:pPr>
      <w:r>
        <w:t xml:space="preserve">Google search ads targeting high-intent keywords: 'how to get a job', 'resume review', 'ATS resume checker'</w:t>
      </w:r>
    </w:p>
    <w:p>
      <w:pPr>
        <w:pStyle w:val="ListParagraph"/>
        <w:numPr>
          <w:ilvl w:val="0"/>
          <w:numId w:val="2"/>
        </w:numPr>
        <w:spacing w:after="80"/>
      </w:pPr>
      <w:r>
        <w:t xml:space="preserve">LinkedIn sponsored content targeting people who have updated their LinkedIn profile in the last 30 days (strong signal of active job search)</w:t>
      </w:r>
    </w:p>
    <w:p>
      <w:pPr>
        <w:pStyle w:val="ListParagraph"/>
        <w:numPr>
          <w:ilvl w:val="0"/>
          <w:numId w:val="2"/>
        </w:numPr>
        <w:spacing w:after="80"/>
      </w:pPr>
      <w:r>
        <w:t xml:space="preserve">Retargeting: Users who visited the site but did not sign up — shown testimonials and a specific score teaser</w:t>
      </w:r>
    </w:p>
    <w:p>
      <w:pPr>
        <w:spacing w:after="120"/>
      </w:pPr>
      <w:r>
        <w:t xml:space="preserve"/>
      </w:r>
    </w:p>
    <w:p>
      <w:pPr>
        <w:pStyle w:val="Heading2"/>
      </w:pPr>
      <w:r>
        <w:rPr>
          <w:b/>
          <w:bCs/>
          <w:color w:val="7D3C98"/>
        </w:rPr>
        <w:t xml:space="preserve">9.3 Phase 3: B2B Sales Motion (Months 12-18)</w:t>
      </w:r>
    </w:p>
    <w:p>
      <w:pPr>
        <w:pStyle w:val="ListParagraph"/>
        <w:numPr>
          <w:ilvl w:val="0"/>
          <w:numId w:val="2"/>
        </w:numPr>
        <w:spacing w:after="80"/>
      </w:pPr>
      <w:r>
        <w:t xml:space="preserve">Outbound sales to HR and Talent Acquisition leaders at companies with active hiring pipelines (&gt;50 open roles)</w:t>
      </w:r>
    </w:p>
    <w:p>
      <w:pPr>
        <w:pStyle w:val="ListParagraph"/>
        <w:numPr>
          <w:ilvl w:val="0"/>
          <w:numId w:val="2"/>
        </w:numPr>
        <w:spacing w:after="80"/>
      </w:pPr>
      <w:r>
        <w:t xml:space="preserve">Inbound: Publish 'Mirror Talent Intelligence Reports' — quarterly public reports that demonstrate data quality and attract inbound B2B leads</w:t>
      </w:r>
    </w:p>
    <w:p>
      <w:pPr>
        <w:pStyle w:val="ListParagraph"/>
        <w:numPr>
          <w:ilvl w:val="0"/>
          <w:numId w:val="2"/>
        </w:numPr>
        <w:spacing w:after="80"/>
      </w:pPr>
      <w:r>
        <w:t xml:space="preserve">Partnerships: Integrate with ATS platforms (Lever, Greenhouse, Workday) to deliver Mirror intelligence directly inside the tools B2B buyers already use</w:t>
      </w:r>
    </w:p>
    <w:p>
      <w:pPr>
        <w:pStyle w:val="ListParagraph"/>
        <w:numPr>
          <w:ilvl w:val="0"/>
          <w:numId w:val="2"/>
        </w:numPr>
        <w:spacing w:after="80"/>
      </w:pPr>
      <w:r>
        <w:t xml:space="preserve">Conference presence: HR Tech, LinkedIn Talent Connect, SHRM — position Mirror as the talent intelligence layer</w:t>
      </w:r>
    </w:p>
    <w:p>
      <w:r>
        <w:br w:type="page"/>
      </w:r>
    </w:p>
    <w:p>
      <w:pPr>
        <w:pStyle w:val="Heading1"/>
      </w:pPr>
      <w:r>
        <w:rPr>
          <w:b/>
          <w:bCs/>
          <w:color w:val="4A235A"/>
        </w:rPr>
        <w:t xml:space="preserve">10. Competitive Advantage &amp; Defensibility</w:t>
      </w:r>
    </w:p>
    <w:p>
      <w:pPr>
        <w:pBdr>
          <w:bottom w:val="single" w:color="7D3C98"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Advantage</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Why It Is Defensible</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Data Moat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talent intelligence dataset grows with every user. It takes years and millions of users to replicate. Competitors cannot buy this shortcut.</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Real-time Market Signal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Mirror is always connected to live job postings. Advice is never stale — unlike static career coaches or generic resume services.</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Honest Positioning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Mirror is the only product that leads with brutal honesty. This is a brand differentiation that is simple to communicate and impossible to fake.</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Skill Ranking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Ranking users by proficiency within skill categories creates a talent leaderboard no competitor offers. B2B clients pay for ranked, structured talent data.</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Product-Led Growth Flywheel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shareable Mirror Score drives organic growth. Every user who shares their score is a free marketing impression. Network effect in the dataset compounds over time.</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rPr>
              <w:t xml:space="preserve">Switching Costs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 who have built their learning history, tracked their Mirror Score over time, and received personalised coaching have high switching costs. Their progress lives in Mirror.</w:t>
            </w:r>
          </w:p>
        </w:tc>
      </w:tr>
    </w:tbl>
    <w:p>
      <w:r>
        <w:br w:type="page"/>
      </w:r>
    </w:p>
    <w:p>
      <w:pPr>
        <w:pStyle w:val="Heading1"/>
      </w:pPr>
      <w:r>
        <w:rPr>
          <w:b/>
          <w:bCs/>
          <w:color w:val="4A235A"/>
        </w:rPr>
        <w:t xml:space="preserve">11. Key Milestones &amp; Roadmap</w:t>
      </w:r>
    </w:p>
    <w:p>
      <w:pPr>
        <w:pBdr>
          <w:bottom w:val="single" w:color="7D3C98"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Timeline</w:t>
            </w:r>
          </w:p>
        </w:tc>
        <w:tc>
          <w:tcPr>
            <w:tcW w:type="dxa" w:w="77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b/>
                <w:bCs/>
                <w:color w:val="FFFFFF"/>
              </w:rPr>
              <w:t xml:space="preserve">Milestone</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MVP launch: Free tier live with 10 use cases, Mirror Score operational, resume upload + LinkedIn import working</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Premium tier launched with first 15 use cases (Deep Profile + Learning Roadmap categories)</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5,000 MAU milestone. App store rating target: 4.5+ stars. First 100 paying premium subscribers.</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Remaining 15 premium use cases launched (Application Readiness + Market Intelligence + Coaching)</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20,000 MAU. Paid acquisition channels activated. First content-driven viral growth moment from Mirror Insights.</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9</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50,000 MAU. 2,000 premium subscribers. Mirror Score dataset quality sufficient for B2B product design.</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100,000 MAU. $145K MRR. B2B product built and in beta with 3 pilot enterprise clients.</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13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B2B commercial launch. First paying enterprise clients onboarded. Sales team of 2 hired.</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18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400,000 MAU. 20,000 premium users. $580K MRR. $1M+ B2B ARR. Series A fundraise initiated.</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b/>
                <w:bCs/>
                <w:color w:val="4A235A"/>
              </w:rPr>
              <w:t xml:space="preserve">Month 24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1M MAU. $1.45M MRR. $3.6M B2B ARR. Expansion to 3 new geographies (UK, India, Canada).</w:t>
            </w:r>
          </w:p>
        </w:tc>
      </w:tr>
    </w:tbl>
    <w:p>
      <w:pPr>
        <w:spacing w:after="120"/>
      </w:pPr>
      <w:r>
        <w:t xml:space="preserve"/>
      </w:r>
    </w:p>
    <w:p>
      <w:pPr>
        <w:spacing w:after="120"/>
      </w:pPr>
      <w:r>
        <w:t xml:space="preserve"/>
      </w:r>
    </w:p>
    <w:p>
      <w:pPr>
        <w:pBdr>
          <w:top w:val="single" w:color="7D3C98" w:sz="4"/>
        </w:pBdr>
        <w:jc w:val="center"/>
      </w:pPr>
      <w:r>
        <w:rPr>
          <w:color w:val="555555"/>
          <w:sz w:val="18"/>
          <w:szCs w:val="18"/>
        </w:rPr>
        <w:t xml:space="preserve">END OF DOCUMENT — Mirror Business Model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3C98" w:sz="4"/>
      </w:pBd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3C98" w:sz="4"/>
      </w:pBdr>
      <w:tabs>
        <w:tab w:val="right" w:pos="9360"/>
      </w:tabs>
    </w:pPr>
    <w:r>
      <w:rPr>
        <w:color w:val="555555"/>
        <w:sz w:val="18"/>
        <w:szCs w:val="18"/>
      </w:rPr>
      <w:t xml:space="preserve">Mirror App  |  Business Model  |  v1.0</w:t>
    </w:r>
    <w:r>
      <w:rPr>
        <w:b/>
        <w:bCs/>
        <w:color w:val="AA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2026-04-04T07:08:37.391Z</dcterms:created>
  <dcterms:modified xsi:type="dcterms:W3CDTF">2026-04-04T07:08:37.391Z</dcterms:modified>
</cp:coreProperties>
</file>

<file path=docProps/custom.xml><?xml version="1.0" encoding="utf-8"?>
<Properties xmlns="http://schemas.openxmlformats.org/officeDocument/2006/custom-properties" xmlns:vt="http://schemas.openxmlformats.org/officeDocument/2006/docPropsVTypes"/>
</file>