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6F97" w:rsidRPr="005F6F97" w:rsidRDefault="005F6F97" w:rsidP="005F6F97">
      <w:pPr>
        <w:jc w:val="center"/>
        <w:rPr>
          <w:sz w:val="36"/>
          <w:szCs w:val="36"/>
          <w:u w:val="single"/>
        </w:rPr>
      </w:pPr>
      <w:r w:rsidRPr="005F6F97">
        <w:rPr>
          <w:sz w:val="36"/>
          <w:szCs w:val="36"/>
          <w:u w:val="single"/>
        </w:rPr>
        <w:t>Techniques of investigation of variances</w:t>
      </w:r>
    </w:p>
    <w:p w:rsidR="00494B9D" w:rsidRDefault="00494B9D" w:rsidP="002A3EE3">
      <w:pPr>
        <w:pStyle w:val="ListParagraph"/>
        <w:numPr>
          <w:ilvl w:val="0"/>
          <w:numId w:val="1"/>
        </w:numPr>
        <w:jc w:val="both"/>
      </w:pPr>
      <w:r w:rsidRPr="005F6F97">
        <w:rPr>
          <w:b/>
        </w:rPr>
        <w:t>Heuristics-</w:t>
      </w:r>
      <w:r>
        <w:t xml:space="preserve"> A heuristic is a rule of thumb. It has come to be associated in recent years with expert systems and ways in which experts take decisions. Experts, including management Accountants, are faced with enormously complex problems for which the current trend of thought suggests that optimal resolution is not practicable. Experts reduce unmanageable problems to manageable proportions by using rule of thumb. A typical rule of thumb may </w:t>
      </w:r>
      <w:r w:rsidR="008064FB">
        <w:t>be:</w:t>
      </w:r>
      <w:r>
        <w:t xml:space="preserve"> ‘investigate all adverse variances over 5% or </w:t>
      </w:r>
      <w:proofErr w:type="spellStart"/>
      <w:r>
        <w:t>Rs</w:t>
      </w:r>
      <w:proofErr w:type="spellEnd"/>
      <w:r>
        <w:t xml:space="preserve">. 10,000 whichever is smaller’. 5% and </w:t>
      </w:r>
      <w:proofErr w:type="spellStart"/>
      <w:r>
        <w:t>Rs</w:t>
      </w:r>
      <w:proofErr w:type="spellEnd"/>
      <w:r>
        <w:t>. 10,000 are numbers determined by the Management Accountant possibly based on experience.</w:t>
      </w:r>
    </w:p>
    <w:p w:rsidR="005F6F97" w:rsidRDefault="005F6F97" w:rsidP="005F6F97">
      <w:pPr>
        <w:pStyle w:val="ListParagraph"/>
        <w:jc w:val="both"/>
      </w:pPr>
    </w:p>
    <w:p w:rsidR="00494B9D" w:rsidRDefault="00494B9D" w:rsidP="005F6F97">
      <w:pPr>
        <w:pStyle w:val="ListParagraph"/>
        <w:numPr>
          <w:ilvl w:val="0"/>
          <w:numId w:val="1"/>
        </w:numPr>
        <w:spacing w:after="0" w:line="240" w:lineRule="auto"/>
        <w:jc w:val="both"/>
      </w:pPr>
      <w:r w:rsidRPr="005F6F97">
        <w:rPr>
          <w:b/>
        </w:rPr>
        <w:t>Trend Analysis-</w:t>
      </w:r>
      <w:r>
        <w:t xml:space="preserve"> Where the trend of variance is consistent, it may be concluded that the process is under control. If a variance is </w:t>
      </w:r>
      <w:r w:rsidR="00F060ED">
        <w:t>significant</w:t>
      </w:r>
      <w:r>
        <w:t xml:space="preserve"> but following a trend, the implication may be that the standard is not consistent with current circumstances. Perhaps because an ideal standard is in use or that the cost of correcting the underlying problem is prohibitive.</w:t>
      </w:r>
    </w:p>
    <w:p w:rsidR="00494B9D" w:rsidRDefault="00494B9D" w:rsidP="005F6F97">
      <w:pPr>
        <w:pStyle w:val="ListParagraph"/>
        <w:spacing w:after="0" w:line="240" w:lineRule="auto"/>
        <w:jc w:val="both"/>
      </w:pPr>
    </w:p>
    <w:p w:rsidR="005F6F97" w:rsidRDefault="00F060ED" w:rsidP="005F6F97">
      <w:pPr>
        <w:spacing w:after="0" w:line="240" w:lineRule="auto"/>
        <w:ind w:left="720"/>
        <w:jc w:val="both"/>
      </w:pPr>
      <w:r w:rsidRPr="00253B18">
        <w:rPr>
          <w:b/>
        </w:rPr>
        <w:t>Illustratio</w:t>
      </w:r>
      <w:r w:rsidR="005F6F97">
        <w:rPr>
          <w:b/>
        </w:rPr>
        <w:t>n:</w:t>
      </w:r>
      <w:r>
        <w:t xml:space="preserve"> </w:t>
      </w:r>
    </w:p>
    <w:p w:rsidR="00156D88" w:rsidRDefault="005F6F97" w:rsidP="005F6F97">
      <w:pPr>
        <w:spacing w:after="0" w:line="240" w:lineRule="auto"/>
        <w:ind w:left="720"/>
        <w:jc w:val="both"/>
      </w:pPr>
      <w:r>
        <w:t>Satellite</w:t>
      </w:r>
      <w:r w:rsidR="00F060ED">
        <w:t xml:space="preserve"> Communications Co. Ltd. uses standard costing systems. The following cost of material details relate to the most immediate months:</w:t>
      </w:r>
    </w:p>
    <w:tbl>
      <w:tblPr>
        <w:tblW w:w="7606" w:type="dxa"/>
        <w:tblInd w:w="885" w:type="dxa"/>
        <w:tblLook w:val="04A0" w:firstRow="1" w:lastRow="0" w:firstColumn="1" w:lastColumn="0" w:noHBand="0" w:noVBand="1"/>
      </w:tblPr>
      <w:tblGrid>
        <w:gridCol w:w="1811"/>
        <w:gridCol w:w="1159"/>
        <w:gridCol w:w="1159"/>
        <w:gridCol w:w="1159"/>
        <w:gridCol w:w="1159"/>
        <w:gridCol w:w="1159"/>
      </w:tblGrid>
      <w:tr w:rsidR="00F060ED" w:rsidRPr="00F060ED" w:rsidTr="00F060ED">
        <w:trPr>
          <w:trHeight w:val="324"/>
        </w:trPr>
        <w:tc>
          <w:tcPr>
            <w:tcW w:w="1811" w:type="dxa"/>
            <w:tcBorders>
              <w:top w:val="single" w:sz="4" w:space="0" w:color="auto"/>
              <w:left w:val="single" w:sz="4" w:space="0" w:color="auto"/>
              <w:bottom w:val="nil"/>
              <w:right w:val="nil"/>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Material Usage</w:t>
            </w:r>
          </w:p>
        </w:tc>
        <w:tc>
          <w:tcPr>
            <w:tcW w:w="1159" w:type="dxa"/>
            <w:tcBorders>
              <w:top w:val="single" w:sz="4" w:space="0" w:color="auto"/>
              <w:left w:val="nil"/>
              <w:bottom w:val="nil"/>
              <w:right w:val="single" w:sz="4" w:space="0" w:color="auto"/>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(Kg.)</w:t>
            </w:r>
          </w:p>
        </w:tc>
        <w:tc>
          <w:tcPr>
            <w:tcW w:w="1159" w:type="dxa"/>
            <w:tcBorders>
              <w:top w:val="single" w:sz="4" w:space="0" w:color="auto"/>
              <w:left w:val="nil"/>
              <w:bottom w:val="single" w:sz="4" w:space="0" w:color="auto"/>
              <w:right w:val="single" w:sz="4" w:space="0" w:color="auto"/>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100,000</w:t>
            </w:r>
          </w:p>
        </w:tc>
        <w:tc>
          <w:tcPr>
            <w:tcW w:w="1159" w:type="dxa"/>
            <w:tcBorders>
              <w:top w:val="single" w:sz="4" w:space="0" w:color="auto"/>
              <w:left w:val="nil"/>
              <w:bottom w:val="single" w:sz="4" w:space="0" w:color="auto"/>
              <w:right w:val="single" w:sz="4" w:space="0" w:color="auto"/>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100,000</w:t>
            </w:r>
          </w:p>
        </w:tc>
        <w:tc>
          <w:tcPr>
            <w:tcW w:w="1159" w:type="dxa"/>
            <w:tcBorders>
              <w:top w:val="single" w:sz="4" w:space="0" w:color="auto"/>
              <w:left w:val="nil"/>
              <w:bottom w:val="single" w:sz="4" w:space="0" w:color="auto"/>
              <w:right w:val="single" w:sz="4" w:space="0" w:color="auto"/>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100,000</w:t>
            </w:r>
          </w:p>
        </w:tc>
        <w:tc>
          <w:tcPr>
            <w:tcW w:w="1159" w:type="dxa"/>
            <w:tcBorders>
              <w:top w:val="single" w:sz="4" w:space="0" w:color="auto"/>
              <w:left w:val="nil"/>
              <w:bottom w:val="single" w:sz="4" w:space="0" w:color="auto"/>
              <w:right w:val="single" w:sz="4" w:space="0" w:color="auto"/>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100,000</w:t>
            </w:r>
          </w:p>
        </w:tc>
      </w:tr>
      <w:tr w:rsidR="00F060ED" w:rsidRPr="00F060ED" w:rsidTr="00F060ED">
        <w:trPr>
          <w:trHeight w:val="324"/>
        </w:trPr>
        <w:tc>
          <w:tcPr>
            <w:tcW w:w="1811" w:type="dxa"/>
            <w:tcBorders>
              <w:top w:val="nil"/>
              <w:left w:val="single" w:sz="4" w:space="0" w:color="auto"/>
              <w:bottom w:val="nil"/>
              <w:right w:val="nil"/>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 </w:t>
            </w:r>
          </w:p>
        </w:tc>
        <w:tc>
          <w:tcPr>
            <w:tcW w:w="1159" w:type="dxa"/>
            <w:tcBorders>
              <w:top w:val="nil"/>
              <w:left w:val="nil"/>
              <w:bottom w:val="nil"/>
              <w:right w:val="single" w:sz="4" w:space="0" w:color="auto"/>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w:t>
            </w:r>
            <w:proofErr w:type="spellStart"/>
            <w:r w:rsidRPr="00F060ED">
              <w:rPr>
                <w:rFonts w:ascii="Calibri" w:eastAsia="Times New Roman" w:hAnsi="Calibri" w:cs="Calibri"/>
                <w:color w:val="000000"/>
              </w:rPr>
              <w:t>Rs</w:t>
            </w:r>
            <w:proofErr w:type="spellEnd"/>
            <w:r w:rsidRPr="00F060ED">
              <w:rPr>
                <w:rFonts w:ascii="Calibri" w:eastAsia="Times New Roman" w:hAnsi="Calibri" w:cs="Calibri"/>
                <w:color w:val="000000"/>
              </w:rPr>
              <w:t>.)</w:t>
            </w:r>
          </w:p>
        </w:tc>
        <w:tc>
          <w:tcPr>
            <w:tcW w:w="1159" w:type="dxa"/>
            <w:tcBorders>
              <w:top w:val="nil"/>
              <w:left w:val="nil"/>
              <w:bottom w:val="single" w:sz="4" w:space="0" w:color="auto"/>
              <w:right w:val="single" w:sz="4" w:space="0" w:color="auto"/>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500,000</w:t>
            </w:r>
          </w:p>
        </w:tc>
        <w:tc>
          <w:tcPr>
            <w:tcW w:w="1159" w:type="dxa"/>
            <w:tcBorders>
              <w:top w:val="nil"/>
              <w:left w:val="nil"/>
              <w:bottom w:val="single" w:sz="4" w:space="0" w:color="auto"/>
              <w:right w:val="single" w:sz="4" w:space="0" w:color="auto"/>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500,000</w:t>
            </w:r>
          </w:p>
        </w:tc>
        <w:tc>
          <w:tcPr>
            <w:tcW w:w="1159" w:type="dxa"/>
            <w:tcBorders>
              <w:top w:val="nil"/>
              <w:left w:val="nil"/>
              <w:bottom w:val="single" w:sz="4" w:space="0" w:color="auto"/>
              <w:right w:val="single" w:sz="4" w:space="0" w:color="auto"/>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500,000</w:t>
            </w:r>
          </w:p>
        </w:tc>
        <w:tc>
          <w:tcPr>
            <w:tcW w:w="1159" w:type="dxa"/>
            <w:tcBorders>
              <w:top w:val="nil"/>
              <w:left w:val="nil"/>
              <w:bottom w:val="single" w:sz="4" w:space="0" w:color="auto"/>
              <w:right w:val="single" w:sz="4" w:space="0" w:color="auto"/>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500,000</w:t>
            </w:r>
          </w:p>
        </w:tc>
      </w:tr>
      <w:tr w:rsidR="00F060ED" w:rsidRPr="00F060ED" w:rsidTr="00F060ED">
        <w:trPr>
          <w:trHeight w:val="324"/>
        </w:trPr>
        <w:tc>
          <w:tcPr>
            <w:tcW w:w="1811" w:type="dxa"/>
            <w:tcBorders>
              <w:top w:val="single" w:sz="4" w:space="0" w:color="auto"/>
              <w:left w:val="single" w:sz="4" w:space="0" w:color="auto"/>
              <w:bottom w:val="single" w:sz="4" w:space="0" w:color="auto"/>
              <w:right w:val="nil"/>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Output</w:t>
            </w:r>
          </w:p>
        </w:tc>
        <w:tc>
          <w:tcPr>
            <w:tcW w:w="1159" w:type="dxa"/>
            <w:tcBorders>
              <w:top w:val="single" w:sz="4" w:space="0" w:color="auto"/>
              <w:left w:val="nil"/>
              <w:bottom w:val="single" w:sz="4" w:space="0" w:color="auto"/>
              <w:right w:val="single" w:sz="4" w:space="0" w:color="auto"/>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 </w:t>
            </w:r>
          </w:p>
        </w:tc>
        <w:tc>
          <w:tcPr>
            <w:tcW w:w="1159" w:type="dxa"/>
            <w:tcBorders>
              <w:top w:val="nil"/>
              <w:left w:val="nil"/>
              <w:bottom w:val="single" w:sz="4" w:space="0" w:color="auto"/>
              <w:right w:val="single" w:sz="4" w:space="0" w:color="auto"/>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50,000</w:t>
            </w:r>
          </w:p>
        </w:tc>
        <w:tc>
          <w:tcPr>
            <w:tcW w:w="1159" w:type="dxa"/>
            <w:tcBorders>
              <w:top w:val="nil"/>
              <w:left w:val="nil"/>
              <w:bottom w:val="single" w:sz="4" w:space="0" w:color="auto"/>
              <w:right w:val="single" w:sz="4" w:space="0" w:color="auto"/>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45,000</w:t>
            </w:r>
          </w:p>
        </w:tc>
        <w:tc>
          <w:tcPr>
            <w:tcW w:w="1159" w:type="dxa"/>
            <w:tcBorders>
              <w:top w:val="nil"/>
              <w:left w:val="nil"/>
              <w:bottom w:val="single" w:sz="4" w:space="0" w:color="auto"/>
              <w:right w:val="single" w:sz="4" w:space="0" w:color="auto"/>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52,000</w:t>
            </w:r>
          </w:p>
        </w:tc>
        <w:tc>
          <w:tcPr>
            <w:tcW w:w="1159" w:type="dxa"/>
            <w:tcBorders>
              <w:top w:val="nil"/>
              <w:left w:val="nil"/>
              <w:bottom w:val="single" w:sz="4" w:space="0" w:color="auto"/>
              <w:right w:val="single" w:sz="4" w:space="0" w:color="auto"/>
            </w:tcBorders>
            <w:shd w:val="clear" w:color="auto" w:fill="auto"/>
            <w:noWrap/>
            <w:vAlign w:val="bottom"/>
            <w:hideMark/>
          </w:tcPr>
          <w:p w:rsidR="00F060ED" w:rsidRPr="00F060ED" w:rsidRDefault="00F060ED" w:rsidP="005F6F97">
            <w:pPr>
              <w:spacing w:after="0" w:line="240" w:lineRule="auto"/>
              <w:jc w:val="both"/>
              <w:rPr>
                <w:rFonts w:ascii="Calibri" w:eastAsia="Times New Roman" w:hAnsi="Calibri" w:cs="Calibri"/>
                <w:color w:val="000000"/>
              </w:rPr>
            </w:pPr>
            <w:r w:rsidRPr="00F060ED">
              <w:rPr>
                <w:rFonts w:ascii="Calibri" w:eastAsia="Times New Roman" w:hAnsi="Calibri" w:cs="Calibri"/>
                <w:color w:val="000000"/>
              </w:rPr>
              <w:t>55,000</w:t>
            </w:r>
          </w:p>
        </w:tc>
      </w:tr>
    </w:tbl>
    <w:p w:rsidR="00F060ED" w:rsidRDefault="00F060ED" w:rsidP="005F6F97">
      <w:pPr>
        <w:spacing w:after="0" w:line="240" w:lineRule="auto"/>
        <w:ind w:left="360"/>
        <w:jc w:val="both"/>
      </w:pPr>
    </w:p>
    <w:p w:rsidR="00F060ED" w:rsidRDefault="00F060ED" w:rsidP="005F6F97">
      <w:pPr>
        <w:spacing w:after="0" w:line="240" w:lineRule="auto"/>
        <w:ind w:left="720"/>
        <w:jc w:val="both"/>
      </w:pPr>
      <w:r>
        <w:t xml:space="preserve">The standard product cost shows that materials should cost </w:t>
      </w:r>
      <w:proofErr w:type="spellStart"/>
      <w:r>
        <w:t>Rs</w:t>
      </w:r>
      <w:proofErr w:type="spellEnd"/>
      <w:r>
        <w:t>. 3 per kg and that each unit of output should use 2 kg. Calculate variances and state which variances should have been investigated by the company.</w:t>
      </w:r>
    </w:p>
    <w:p w:rsidR="005F6F97" w:rsidRDefault="005F6F97" w:rsidP="005F6F97">
      <w:pPr>
        <w:spacing w:after="0" w:line="240" w:lineRule="auto"/>
        <w:ind w:left="720"/>
        <w:jc w:val="both"/>
      </w:pPr>
    </w:p>
    <w:p w:rsidR="008064FB" w:rsidRDefault="003E403B" w:rsidP="002A3EE3">
      <w:pPr>
        <w:pStyle w:val="ListParagraph"/>
        <w:numPr>
          <w:ilvl w:val="0"/>
          <w:numId w:val="1"/>
        </w:numPr>
        <w:jc w:val="both"/>
      </w:pPr>
      <w:r w:rsidRPr="005F6F97">
        <w:rPr>
          <w:b/>
        </w:rPr>
        <w:t>Statistical Control Charts</w:t>
      </w:r>
      <w:r>
        <w:t xml:space="preserve">- </w:t>
      </w:r>
      <w:r w:rsidR="008064FB">
        <w:t>Variances provide signals to management. Variances should be reported based on principle of ‘Management by exception’. Significant variances suggest areas where corrective action should be taken to reduce excessive costs. The size of variance is important. Tolerance limits re set so that only variances which exceeds these limits are reported. Small favorable and adverse variances should cancel each other out over a number of control periods. Tolerance limits can be either subjectively or statistically established. Historical data is used to calculate the standard deviation which determines the confidence limits in the chart.</w:t>
      </w:r>
    </w:p>
    <w:p w:rsidR="005F6F97" w:rsidRDefault="005F6F97" w:rsidP="005F6F97">
      <w:pPr>
        <w:pStyle w:val="ListParagraph"/>
        <w:jc w:val="both"/>
      </w:pPr>
    </w:p>
    <w:p w:rsidR="00186513" w:rsidRDefault="00186513" w:rsidP="002A3EE3">
      <w:pPr>
        <w:pStyle w:val="ListParagraph"/>
        <w:numPr>
          <w:ilvl w:val="0"/>
          <w:numId w:val="1"/>
        </w:numPr>
        <w:jc w:val="both"/>
      </w:pPr>
      <w:r w:rsidRPr="005F6F97">
        <w:rPr>
          <w:b/>
        </w:rPr>
        <w:t>Decision Tree Approach-</w:t>
      </w:r>
      <w:r>
        <w:t xml:space="preserve"> in advance of the decision to investigate or not to investigate all variances, an assessment of costs and benefits arising from investigating or not investigating can be made. The assessment can be expressed in the form of a decision tree. Probabilities if the effectiveness of investigation can be applied to the decision tree in order to determine whether an economic advantage would arise. Figure 5.11 illustrates a simple form of decision tree.</w:t>
      </w:r>
    </w:p>
    <w:p w:rsidR="00186513" w:rsidRDefault="00186513" w:rsidP="002A3EE3">
      <w:pPr>
        <w:pStyle w:val="ListParagraph"/>
        <w:jc w:val="both"/>
      </w:pPr>
    </w:p>
    <w:p w:rsidR="00186513" w:rsidRDefault="00186513" w:rsidP="002A3EE3">
      <w:pPr>
        <w:ind w:left="720"/>
        <w:jc w:val="both"/>
      </w:pPr>
      <w:r w:rsidRPr="009654C1">
        <w:rPr>
          <w:b/>
        </w:rPr>
        <w:t>Illustration</w:t>
      </w:r>
      <w:r w:rsidR="009654C1">
        <w:t>- The</w:t>
      </w:r>
      <w:r>
        <w:t xml:space="preserve"> production Manager of Super Forgings Ltd. expects that there might be 0.3 probability that the usage variance in a particular period is controllable, but the cost of </w:t>
      </w:r>
      <w:r>
        <w:lastRenderedPageBreak/>
        <w:t xml:space="preserve">investigating the matter would be </w:t>
      </w:r>
      <w:proofErr w:type="spellStart"/>
      <w:r>
        <w:t>Rs</w:t>
      </w:r>
      <w:proofErr w:type="spellEnd"/>
      <w:r>
        <w:t xml:space="preserve">. 9000 and a further </w:t>
      </w:r>
      <w:proofErr w:type="spellStart"/>
      <w:r>
        <w:t>Rs</w:t>
      </w:r>
      <w:proofErr w:type="spellEnd"/>
      <w:r>
        <w:t xml:space="preserve">. 1200 would be incurred if control action is found to be necessary. </w:t>
      </w:r>
    </w:p>
    <w:p w:rsidR="00186513" w:rsidRDefault="00186513" w:rsidP="002A3EE3">
      <w:pPr>
        <w:pStyle w:val="ListParagraph"/>
        <w:numPr>
          <w:ilvl w:val="0"/>
          <w:numId w:val="2"/>
        </w:numPr>
        <w:jc w:val="both"/>
      </w:pPr>
      <w:r>
        <w:t>What must be the minimum expected benefits from control action to justify investigation of the material usage variance?</w:t>
      </w:r>
    </w:p>
    <w:p w:rsidR="00186513" w:rsidRDefault="00186513" w:rsidP="002A3EE3">
      <w:pPr>
        <w:pStyle w:val="ListParagraph"/>
        <w:numPr>
          <w:ilvl w:val="0"/>
          <w:numId w:val="2"/>
        </w:numPr>
        <w:jc w:val="both"/>
      </w:pPr>
      <w:r>
        <w:t xml:space="preserve">If it is estimated that these expected benefits are </w:t>
      </w:r>
      <w:proofErr w:type="spellStart"/>
      <w:r>
        <w:t>Rs</w:t>
      </w:r>
      <w:proofErr w:type="spellEnd"/>
      <w:r>
        <w:t>. 5,700 before deducting costs of control action, what would be the minimum required probability that the variance is controllable in order to justify investigating the variance?</w:t>
      </w:r>
      <w:bookmarkStart w:id="0" w:name="_GoBack"/>
      <w:bookmarkEnd w:id="0"/>
    </w:p>
    <w:p w:rsidR="000B03AC" w:rsidRDefault="000B03AC" w:rsidP="002A3EE3">
      <w:pPr>
        <w:pStyle w:val="ListParagraph"/>
        <w:numPr>
          <w:ilvl w:val="0"/>
          <w:numId w:val="1"/>
        </w:numPr>
        <w:jc w:val="both"/>
      </w:pPr>
      <w:r w:rsidRPr="005F6F97">
        <w:rPr>
          <w:b/>
          <w:noProof/>
          <w:lang w:val="en-IN" w:eastAsia="en-IN"/>
        </w:rPr>
        <mc:AlternateContent>
          <mc:Choice Requires="wps">
            <w:drawing>
              <wp:anchor distT="0" distB="0" distL="114300" distR="114300" simplePos="0" relativeHeight="251659264" behindDoc="0" locked="0" layoutInCell="1" allowOverlap="1" wp14:anchorId="088D95AB" wp14:editId="3AB379B1">
                <wp:simplePos x="0" y="0"/>
                <wp:positionH relativeFrom="column">
                  <wp:posOffset>295275</wp:posOffset>
                </wp:positionH>
                <wp:positionV relativeFrom="paragraph">
                  <wp:posOffset>772795</wp:posOffset>
                </wp:positionV>
                <wp:extent cx="5772150" cy="1857375"/>
                <wp:effectExtent l="0" t="0" r="1905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0" cy="1857375"/>
                        </a:xfrm>
                        <a:prstGeom prst="rect">
                          <a:avLst/>
                        </a:prstGeom>
                        <a:solidFill>
                          <a:srgbClr val="FFFFFF"/>
                        </a:solidFill>
                        <a:ln w="9525">
                          <a:solidFill>
                            <a:srgbClr val="000000"/>
                          </a:solidFill>
                          <a:miter lim="800000"/>
                          <a:headEnd/>
                          <a:tailEnd/>
                        </a:ln>
                      </wps:spPr>
                      <wps:txbx>
                        <w:txbxContent>
                          <w:p w:rsidR="000B03AC" w:rsidRDefault="000B03AC">
                            <w:r>
                              <w:t>When action is taken to investigate, the cost involved will be:</w:t>
                            </w:r>
                          </w:p>
                          <w:p w:rsidR="000B03AC" w:rsidRDefault="000B03AC" w:rsidP="000B03AC">
                            <w:pPr>
                              <w:spacing w:after="120" w:line="240" w:lineRule="auto"/>
                            </w:pPr>
                            <w:r>
                              <w:t>In control event</w:t>
                            </w:r>
                            <w:r>
                              <w:tab/>
                            </w:r>
                            <w:r>
                              <w:tab/>
                              <w:t>:</w:t>
                            </w:r>
                            <w:r>
                              <w:tab/>
                              <w:t>Cost of Investigation (I)</w:t>
                            </w:r>
                          </w:p>
                          <w:p w:rsidR="000B03AC" w:rsidRDefault="000B03AC" w:rsidP="000B03AC">
                            <w:pPr>
                              <w:spacing w:after="120" w:line="240" w:lineRule="auto"/>
                            </w:pPr>
                            <w:r>
                              <w:t>Out-of-control</w:t>
                            </w:r>
                            <w:r>
                              <w:tab/>
                            </w:r>
                            <w:r>
                              <w:tab/>
                              <w:t xml:space="preserve"> :</w:t>
                            </w:r>
                            <w:r>
                              <w:tab/>
                              <w:t>Cost of investigation (I) + Cost of correcting the process that is out of control (C)</w:t>
                            </w:r>
                            <w:r>
                              <w:tab/>
                            </w:r>
                            <w:r>
                              <w:tab/>
                            </w:r>
                          </w:p>
                          <w:p w:rsidR="000B03AC" w:rsidRDefault="000B03AC" w:rsidP="000B03AC">
                            <w:r>
                              <w:t>If the action is not to investigate, the cost involved will be:</w:t>
                            </w:r>
                          </w:p>
                          <w:p w:rsidR="000B03AC" w:rsidRDefault="000B03AC" w:rsidP="000B03AC">
                            <w:pPr>
                              <w:spacing w:after="120" w:line="240" w:lineRule="auto"/>
                            </w:pPr>
                            <w:r>
                              <w:t>In- Control event</w:t>
                            </w:r>
                            <w:r>
                              <w:tab/>
                              <w:t>:</w:t>
                            </w:r>
                            <w:r>
                              <w:tab/>
                              <w:t>Nil</w:t>
                            </w:r>
                          </w:p>
                          <w:p w:rsidR="000B03AC" w:rsidRDefault="000B03AC" w:rsidP="000B03AC">
                            <w:pPr>
                              <w:spacing w:after="120" w:line="240" w:lineRule="auto"/>
                            </w:pPr>
                            <w:r>
                              <w:t>Out of Control event</w:t>
                            </w:r>
                            <w:r>
                              <w:tab/>
                              <w:t>:</w:t>
                            </w:r>
                            <w:r>
                              <w:tab/>
                              <w:t>cost of allowing the process to continue out of control (O)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8D95AB" id="_x0000_t202" coordsize="21600,21600" o:spt="202" path="m,l,21600r21600,l21600,xe">
                <v:stroke joinstyle="miter"/>
                <v:path gradientshapeok="t" o:connecttype="rect"/>
              </v:shapetype>
              <v:shape id="Text Box 2" o:spid="_x0000_s1026" type="#_x0000_t202" style="position:absolute;left:0;text-align:left;margin-left:23.25pt;margin-top:60.85pt;width:454.5pt;height:14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">
                <v:textbox>
                  <w:txbxContent>
                    <w:p w:rsidR="000B03AC" w:rsidRDefault="000B03AC">
                      <w:r>
                        <w:t>When action is taken to investigate, the cost involved will be:</w:t>
                      </w:r>
                    </w:p>
                    <w:p w:rsidR="000B03AC" w:rsidRDefault="000B03AC" w:rsidP="000B03AC">
                      <w:pPr>
                        <w:spacing w:after="120" w:line="240" w:lineRule="auto"/>
                      </w:pPr>
                      <w:r>
                        <w:t>In control event</w:t>
                      </w:r>
                      <w:r>
                        <w:tab/>
                      </w:r>
                      <w:r>
                        <w:tab/>
                        <w:t>:</w:t>
                      </w:r>
                      <w:r>
                        <w:tab/>
                        <w:t>Cost of Investigation (I)</w:t>
                      </w:r>
                    </w:p>
                    <w:p w:rsidR="000B03AC" w:rsidRDefault="000B03AC" w:rsidP="000B03AC">
                      <w:pPr>
                        <w:spacing w:after="120" w:line="240" w:lineRule="auto"/>
                      </w:pPr>
                      <w:r>
                        <w:t>Out-of-control</w:t>
                      </w:r>
                      <w:r>
                        <w:tab/>
                      </w:r>
                      <w:r>
                        <w:tab/>
                        <w:t xml:space="preserve"> :</w:t>
                      </w:r>
                      <w:r>
                        <w:tab/>
                        <w:t>Cost of investigation (I) + Cost of correcting the process that is out of control (C)</w:t>
                      </w:r>
                      <w:r>
                        <w:tab/>
                      </w:r>
                      <w:r>
                        <w:tab/>
                      </w:r>
                    </w:p>
                    <w:p w:rsidR="000B03AC" w:rsidRDefault="000B03AC" w:rsidP="000B03AC">
                      <w:r>
                        <w:t>If the action is not to investigate, the cost involved will be:</w:t>
                      </w:r>
                    </w:p>
                    <w:p w:rsidR="000B03AC" w:rsidRDefault="000B03AC" w:rsidP="000B03AC">
                      <w:pPr>
                        <w:spacing w:after="120" w:line="240" w:lineRule="auto"/>
                      </w:pPr>
                      <w:r>
                        <w:t>In- Control event</w:t>
                      </w:r>
                      <w:r>
                        <w:tab/>
                        <w:t>:</w:t>
                      </w:r>
                      <w:r>
                        <w:tab/>
                        <w:t>Nil</w:t>
                      </w:r>
                    </w:p>
                    <w:p w:rsidR="000B03AC" w:rsidRDefault="000B03AC" w:rsidP="000B03AC">
                      <w:pPr>
                        <w:spacing w:after="120" w:line="240" w:lineRule="auto"/>
                      </w:pPr>
                      <w:r>
                        <w:t>Out of Control event</w:t>
                      </w:r>
                      <w:r>
                        <w:tab/>
                        <w:t>:</w:t>
                      </w:r>
                      <w:r>
                        <w:tab/>
                        <w:t>cost of allowing the process to continue out of control (O)</w:t>
                      </w:r>
                    </w:p>
                  </w:txbxContent>
                </v:textbox>
              </v:shape>
            </w:pict>
          </mc:Fallback>
        </mc:AlternateContent>
      </w:r>
      <w:r w:rsidRPr="005F6F97">
        <w:rPr>
          <w:b/>
        </w:rPr>
        <w:t>Decision Theory Approach (Game Theory)-</w:t>
      </w:r>
      <w:r>
        <w:t xml:space="preserve"> A game theory approach has been suggested which has the advantage of recognizing that the process may be under control even though a variance is reported. When a variance is concerned, it may be either ‘in control’ needing no investigation or it may be’ out of control’ needing investigation.</w:t>
      </w:r>
    </w:p>
    <w:p w:rsidR="000B03AC" w:rsidRDefault="000B03AC" w:rsidP="002A3EE3">
      <w:pPr>
        <w:pStyle w:val="ListParagraph"/>
        <w:jc w:val="both"/>
      </w:pPr>
    </w:p>
    <w:p w:rsidR="000B03AC" w:rsidRDefault="000B03AC" w:rsidP="002A3EE3">
      <w:pPr>
        <w:ind w:firstLine="360"/>
        <w:jc w:val="both"/>
      </w:pPr>
    </w:p>
    <w:p w:rsidR="000B03AC" w:rsidRPr="000B03AC" w:rsidRDefault="000B03AC" w:rsidP="002A3EE3">
      <w:pPr>
        <w:jc w:val="both"/>
      </w:pPr>
    </w:p>
    <w:p w:rsidR="000B03AC" w:rsidRPr="000B03AC" w:rsidRDefault="000B03AC" w:rsidP="002A3EE3">
      <w:pPr>
        <w:jc w:val="both"/>
      </w:pPr>
    </w:p>
    <w:p w:rsidR="000B03AC" w:rsidRPr="000B03AC" w:rsidRDefault="000B03AC" w:rsidP="002A3EE3">
      <w:pPr>
        <w:jc w:val="both"/>
      </w:pPr>
    </w:p>
    <w:p w:rsidR="000B03AC" w:rsidRDefault="000B03AC" w:rsidP="002A3EE3">
      <w:pPr>
        <w:tabs>
          <w:tab w:val="left" w:pos="945"/>
        </w:tabs>
        <w:jc w:val="both"/>
      </w:pPr>
    </w:p>
    <w:p w:rsidR="001515D5" w:rsidRDefault="000B03AC" w:rsidP="002A3EE3">
      <w:pPr>
        <w:tabs>
          <w:tab w:val="left" w:pos="945"/>
        </w:tabs>
        <w:jc w:val="both"/>
      </w:pPr>
      <w:r>
        <w:tab/>
        <w:t>In the matrix form, the above will be represented as follows:</w:t>
      </w:r>
    </w:p>
    <w:tbl>
      <w:tblPr>
        <w:tblW w:w="8466" w:type="dxa"/>
        <w:tblInd w:w="1005" w:type="dxa"/>
        <w:tblLook w:val="04A0" w:firstRow="1" w:lastRow="0" w:firstColumn="1" w:lastColumn="0" w:noHBand="0" w:noVBand="1"/>
      </w:tblPr>
      <w:tblGrid>
        <w:gridCol w:w="4829"/>
        <w:gridCol w:w="1325"/>
        <w:gridCol w:w="2312"/>
      </w:tblGrid>
      <w:tr w:rsidR="001515D5" w:rsidRPr="001515D5" w:rsidTr="001515D5">
        <w:trPr>
          <w:trHeight w:val="277"/>
        </w:trPr>
        <w:tc>
          <w:tcPr>
            <w:tcW w:w="4829" w:type="dxa"/>
            <w:tcBorders>
              <w:top w:val="single" w:sz="4" w:space="0" w:color="auto"/>
              <w:left w:val="single" w:sz="4" w:space="0" w:color="auto"/>
              <w:bottom w:val="single" w:sz="4" w:space="0" w:color="auto"/>
              <w:right w:val="nil"/>
            </w:tcBorders>
            <w:shd w:val="clear" w:color="auto" w:fill="auto"/>
            <w:noWrap/>
            <w:vAlign w:val="bottom"/>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 </w:t>
            </w:r>
          </w:p>
        </w:tc>
        <w:tc>
          <w:tcPr>
            <w:tcW w:w="1325" w:type="dxa"/>
            <w:tcBorders>
              <w:top w:val="single" w:sz="4" w:space="0" w:color="auto"/>
              <w:left w:val="nil"/>
              <w:bottom w:val="single" w:sz="4" w:space="0" w:color="auto"/>
              <w:right w:val="nil"/>
            </w:tcBorders>
            <w:shd w:val="clear" w:color="auto" w:fill="auto"/>
            <w:noWrap/>
            <w:vAlign w:val="bottom"/>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 </w:t>
            </w:r>
          </w:p>
        </w:tc>
        <w:tc>
          <w:tcPr>
            <w:tcW w:w="2312" w:type="dxa"/>
            <w:tcBorders>
              <w:top w:val="single" w:sz="4" w:space="0" w:color="auto"/>
              <w:left w:val="nil"/>
              <w:bottom w:val="single" w:sz="4" w:space="0" w:color="auto"/>
              <w:right w:val="single" w:sz="4" w:space="0" w:color="auto"/>
            </w:tcBorders>
            <w:shd w:val="clear" w:color="auto" w:fill="auto"/>
            <w:noWrap/>
            <w:vAlign w:val="bottom"/>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Status</w:t>
            </w:r>
          </w:p>
        </w:tc>
      </w:tr>
      <w:tr w:rsidR="001515D5" w:rsidRPr="001515D5" w:rsidTr="001515D5">
        <w:trPr>
          <w:trHeight w:val="277"/>
        </w:trPr>
        <w:tc>
          <w:tcPr>
            <w:tcW w:w="4829" w:type="dxa"/>
            <w:tcBorders>
              <w:top w:val="nil"/>
              <w:left w:val="single" w:sz="4" w:space="0" w:color="auto"/>
              <w:bottom w:val="single" w:sz="4" w:space="0" w:color="auto"/>
              <w:right w:val="single" w:sz="4" w:space="0" w:color="auto"/>
            </w:tcBorders>
            <w:shd w:val="clear" w:color="auto" w:fill="auto"/>
            <w:noWrap/>
            <w:vAlign w:val="bottom"/>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Action</w:t>
            </w:r>
          </w:p>
        </w:tc>
        <w:tc>
          <w:tcPr>
            <w:tcW w:w="1325" w:type="dxa"/>
            <w:tcBorders>
              <w:top w:val="nil"/>
              <w:left w:val="nil"/>
              <w:bottom w:val="single" w:sz="4" w:space="0" w:color="auto"/>
              <w:right w:val="single" w:sz="4" w:space="0" w:color="auto"/>
            </w:tcBorders>
            <w:shd w:val="clear" w:color="auto" w:fill="auto"/>
            <w:noWrap/>
            <w:vAlign w:val="bottom"/>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In Control</w:t>
            </w:r>
          </w:p>
        </w:tc>
        <w:tc>
          <w:tcPr>
            <w:tcW w:w="2312" w:type="dxa"/>
            <w:tcBorders>
              <w:top w:val="nil"/>
              <w:left w:val="nil"/>
              <w:bottom w:val="single" w:sz="4" w:space="0" w:color="auto"/>
              <w:right w:val="single" w:sz="4" w:space="0" w:color="auto"/>
            </w:tcBorders>
            <w:shd w:val="clear" w:color="auto" w:fill="auto"/>
            <w:noWrap/>
            <w:vAlign w:val="bottom"/>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Out of Control</w:t>
            </w:r>
          </w:p>
        </w:tc>
      </w:tr>
      <w:tr w:rsidR="001515D5" w:rsidRPr="001515D5" w:rsidTr="001515D5">
        <w:trPr>
          <w:trHeight w:val="335"/>
        </w:trPr>
        <w:tc>
          <w:tcPr>
            <w:tcW w:w="4829" w:type="dxa"/>
            <w:tcBorders>
              <w:top w:val="nil"/>
              <w:left w:val="single" w:sz="4" w:space="0" w:color="auto"/>
              <w:bottom w:val="nil"/>
              <w:right w:val="nil"/>
            </w:tcBorders>
            <w:shd w:val="clear" w:color="auto" w:fill="auto"/>
            <w:noWrap/>
            <w:vAlign w:val="bottom"/>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 xml:space="preserve">Investigate   </w:t>
            </w:r>
            <w:r>
              <w:rPr>
                <w:rFonts w:ascii="Calibri" w:eastAsia="Times New Roman" w:hAnsi="Calibri" w:cs="Calibri"/>
                <w:color w:val="000000"/>
              </w:rPr>
              <w:t xml:space="preserve">                     :</w:t>
            </w:r>
            <w:r w:rsidRPr="001515D5">
              <w:rPr>
                <w:rFonts w:ascii="Calibri" w:eastAsia="Times New Roman" w:hAnsi="Calibri" w:cs="Calibri"/>
                <w:color w:val="000000"/>
              </w:rPr>
              <w:t xml:space="preserve">  a</w:t>
            </w:r>
            <w:r w:rsidRPr="001515D5">
              <w:rPr>
                <w:rFonts w:ascii="Calibri" w:eastAsia="Times New Roman" w:hAnsi="Calibri" w:cs="Calibri"/>
                <w:color w:val="000000"/>
                <w:vertAlign w:val="subscript"/>
              </w:rPr>
              <w:t>1</w:t>
            </w:r>
          </w:p>
        </w:tc>
        <w:tc>
          <w:tcPr>
            <w:tcW w:w="1325" w:type="dxa"/>
            <w:tcBorders>
              <w:top w:val="nil"/>
              <w:left w:val="nil"/>
              <w:bottom w:val="nil"/>
              <w:right w:val="nil"/>
            </w:tcBorders>
            <w:shd w:val="clear" w:color="auto" w:fill="auto"/>
            <w:noWrap/>
            <w:vAlign w:val="bottom"/>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I</w:t>
            </w:r>
          </w:p>
        </w:tc>
        <w:tc>
          <w:tcPr>
            <w:tcW w:w="2312" w:type="dxa"/>
            <w:tcBorders>
              <w:top w:val="nil"/>
              <w:left w:val="nil"/>
              <w:bottom w:val="nil"/>
              <w:right w:val="single" w:sz="4" w:space="0" w:color="auto"/>
            </w:tcBorders>
            <w:shd w:val="clear" w:color="auto" w:fill="auto"/>
            <w:noWrap/>
            <w:vAlign w:val="bottom"/>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I + C</w:t>
            </w:r>
          </w:p>
        </w:tc>
      </w:tr>
      <w:tr w:rsidR="001515D5" w:rsidRPr="001515D5" w:rsidTr="001515D5">
        <w:trPr>
          <w:trHeight w:val="335"/>
        </w:trPr>
        <w:tc>
          <w:tcPr>
            <w:tcW w:w="4829" w:type="dxa"/>
            <w:tcBorders>
              <w:top w:val="nil"/>
              <w:left w:val="single" w:sz="4" w:space="0" w:color="auto"/>
              <w:bottom w:val="single" w:sz="4" w:space="0" w:color="auto"/>
              <w:right w:val="nil"/>
            </w:tcBorders>
            <w:shd w:val="clear" w:color="auto" w:fill="auto"/>
            <w:noWrap/>
            <w:vAlign w:val="bottom"/>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 xml:space="preserve">Do not Investigate   </w:t>
            </w:r>
            <w:r>
              <w:rPr>
                <w:rFonts w:ascii="Calibri" w:eastAsia="Times New Roman" w:hAnsi="Calibri" w:cs="Calibri"/>
                <w:color w:val="000000"/>
              </w:rPr>
              <w:t xml:space="preserve">        :  </w:t>
            </w:r>
            <w:r w:rsidRPr="001515D5">
              <w:rPr>
                <w:rFonts w:ascii="Calibri" w:eastAsia="Times New Roman" w:hAnsi="Calibri" w:cs="Calibri"/>
                <w:color w:val="000000"/>
              </w:rPr>
              <w:t>a</w:t>
            </w:r>
            <w:r w:rsidRPr="001515D5">
              <w:rPr>
                <w:rFonts w:ascii="Calibri" w:eastAsia="Times New Roman" w:hAnsi="Calibri" w:cs="Calibri"/>
                <w:color w:val="000000"/>
                <w:vertAlign w:val="subscript"/>
              </w:rPr>
              <w:t>2</w:t>
            </w:r>
          </w:p>
        </w:tc>
        <w:tc>
          <w:tcPr>
            <w:tcW w:w="1325" w:type="dxa"/>
            <w:tcBorders>
              <w:top w:val="nil"/>
              <w:left w:val="nil"/>
              <w:bottom w:val="single" w:sz="4" w:space="0" w:color="auto"/>
              <w:right w:val="nil"/>
            </w:tcBorders>
            <w:shd w:val="clear" w:color="auto" w:fill="auto"/>
            <w:noWrap/>
            <w:vAlign w:val="bottom"/>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Zero</w:t>
            </w:r>
          </w:p>
        </w:tc>
        <w:tc>
          <w:tcPr>
            <w:tcW w:w="2312" w:type="dxa"/>
            <w:tcBorders>
              <w:top w:val="nil"/>
              <w:left w:val="nil"/>
              <w:bottom w:val="single" w:sz="4" w:space="0" w:color="auto"/>
              <w:right w:val="single" w:sz="4" w:space="0" w:color="auto"/>
            </w:tcBorders>
            <w:shd w:val="clear" w:color="auto" w:fill="auto"/>
            <w:noWrap/>
            <w:vAlign w:val="bottom"/>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O</w:t>
            </w:r>
          </w:p>
        </w:tc>
      </w:tr>
      <w:tr w:rsidR="001515D5" w:rsidRPr="001515D5" w:rsidTr="001515D5">
        <w:trPr>
          <w:trHeight w:val="1042"/>
        </w:trPr>
        <w:tc>
          <w:tcPr>
            <w:tcW w:w="8466" w:type="dxa"/>
            <w:gridSpan w:val="3"/>
            <w:tcBorders>
              <w:top w:val="single" w:sz="4" w:space="0" w:color="auto"/>
              <w:left w:val="single" w:sz="4" w:space="0" w:color="auto"/>
              <w:bottom w:val="nil"/>
              <w:right w:val="single" w:sz="4" w:space="0" w:color="000000"/>
            </w:tcBorders>
            <w:shd w:val="clear" w:color="auto" w:fill="auto"/>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If P be the profitability associated with in-control state, the probability associated with the out-of-control state will be 1-P. The expected values of each section will be:</w:t>
            </w:r>
          </w:p>
        </w:tc>
      </w:tr>
      <w:tr w:rsidR="001515D5" w:rsidRPr="001515D5" w:rsidTr="001515D5">
        <w:trPr>
          <w:trHeight w:val="335"/>
        </w:trPr>
        <w:tc>
          <w:tcPr>
            <w:tcW w:w="4829" w:type="dxa"/>
            <w:tcBorders>
              <w:top w:val="nil"/>
              <w:left w:val="single" w:sz="4" w:space="0" w:color="auto"/>
              <w:bottom w:val="nil"/>
              <w:right w:val="nil"/>
            </w:tcBorders>
            <w:shd w:val="clear" w:color="auto" w:fill="auto"/>
            <w:noWrap/>
            <w:vAlign w:val="bottom"/>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Investigate                            :</w:t>
            </w:r>
          </w:p>
        </w:tc>
        <w:tc>
          <w:tcPr>
            <w:tcW w:w="1325" w:type="dxa"/>
            <w:tcBorders>
              <w:top w:val="nil"/>
              <w:left w:val="nil"/>
              <w:bottom w:val="nil"/>
              <w:right w:val="nil"/>
            </w:tcBorders>
            <w:shd w:val="clear" w:color="auto" w:fill="auto"/>
            <w:noWrap/>
            <w:vAlign w:val="bottom"/>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E(a</w:t>
            </w:r>
            <w:r w:rsidRPr="001515D5">
              <w:rPr>
                <w:rFonts w:ascii="Calibri" w:eastAsia="Times New Roman" w:hAnsi="Calibri" w:cs="Calibri"/>
                <w:color w:val="000000"/>
                <w:vertAlign w:val="subscript"/>
              </w:rPr>
              <w:t>1</w:t>
            </w:r>
            <w:r w:rsidRPr="001515D5">
              <w:rPr>
                <w:rFonts w:ascii="Calibri" w:eastAsia="Times New Roman" w:hAnsi="Calibri" w:cs="Calibri"/>
                <w:color w:val="000000"/>
              </w:rPr>
              <w:t>)</w:t>
            </w:r>
          </w:p>
        </w:tc>
        <w:tc>
          <w:tcPr>
            <w:tcW w:w="2312" w:type="dxa"/>
            <w:tcBorders>
              <w:top w:val="nil"/>
              <w:left w:val="nil"/>
              <w:bottom w:val="nil"/>
              <w:right w:val="single" w:sz="4" w:space="0" w:color="auto"/>
            </w:tcBorders>
            <w:shd w:val="clear" w:color="auto" w:fill="auto"/>
            <w:noWrap/>
            <w:vAlign w:val="bottom"/>
            <w:hideMark/>
          </w:tcPr>
          <w:p w:rsidR="001515D5" w:rsidRPr="001515D5" w:rsidRDefault="003E403B" w:rsidP="002A3EE3">
            <w:pPr>
              <w:spacing w:after="0" w:line="240" w:lineRule="auto"/>
              <w:jc w:val="both"/>
              <w:rPr>
                <w:rFonts w:ascii="Calibri" w:eastAsia="Times New Roman" w:hAnsi="Calibri" w:cs="Calibri"/>
                <w:color w:val="000000"/>
              </w:rPr>
            </w:pPr>
            <w:r>
              <w:rPr>
                <w:rFonts w:ascii="Calibri" w:eastAsia="Times New Roman" w:hAnsi="Calibri" w:cs="Calibri"/>
                <w:color w:val="000000"/>
              </w:rPr>
              <w:t>=</w:t>
            </w:r>
            <w:r w:rsidR="001515D5" w:rsidRPr="001515D5">
              <w:rPr>
                <w:rFonts w:ascii="Calibri" w:eastAsia="Times New Roman" w:hAnsi="Calibri" w:cs="Calibri"/>
                <w:color w:val="000000"/>
              </w:rPr>
              <w:t>PI + (1-P) (I + C)</w:t>
            </w:r>
          </w:p>
        </w:tc>
      </w:tr>
      <w:tr w:rsidR="001515D5" w:rsidRPr="001515D5" w:rsidTr="001515D5">
        <w:trPr>
          <w:trHeight w:val="335"/>
        </w:trPr>
        <w:tc>
          <w:tcPr>
            <w:tcW w:w="4829" w:type="dxa"/>
            <w:tcBorders>
              <w:top w:val="nil"/>
              <w:left w:val="single" w:sz="4" w:space="0" w:color="auto"/>
              <w:bottom w:val="single" w:sz="4" w:space="0" w:color="auto"/>
              <w:right w:val="nil"/>
            </w:tcBorders>
            <w:shd w:val="clear" w:color="auto" w:fill="auto"/>
            <w:noWrap/>
            <w:vAlign w:val="bottom"/>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Do not investigate              :</w:t>
            </w:r>
          </w:p>
        </w:tc>
        <w:tc>
          <w:tcPr>
            <w:tcW w:w="1325" w:type="dxa"/>
            <w:tcBorders>
              <w:top w:val="nil"/>
              <w:left w:val="nil"/>
              <w:bottom w:val="single" w:sz="4" w:space="0" w:color="auto"/>
              <w:right w:val="nil"/>
            </w:tcBorders>
            <w:shd w:val="clear" w:color="auto" w:fill="auto"/>
            <w:noWrap/>
            <w:vAlign w:val="bottom"/>
            <w:hideMark/>
          </w:tcPr>
          <w:p w:rsidR="001515D5" w:rsidRPr="001515D5" w:rsidRDefault="001515D5" w:rsidP="002A3EE3">
            <w:pPr>
              <w:spacing w:after="0" w:line="240" w:lineRule="auto"/>
              <w:jc w:val="both"/>
              <w:rPr>
                <w:rFonts w:ascii="Calibri" w:eastAsia="Times New Roman" w:hAnsi="Calibri" w:cs="Calibri"/>
                <w:color w:val="000000"/>
              </w:rPr>
            </w:pPr>
            <w:r w:rsidRPr="001515D5">
              <w:rPr>
                <w:rFonts w:ascii="Calibri" w:eastAsia="Times New Roman" w:hAnsi="Calibri" w:cs="Calibri"/>
                <w:color w:val="000000"/>
              </w:rPr>
              <w:t>E(a</w:t>
            </w:r>
            <w:r w:rsidRPr="001515D5">
              <w:rPr>
                <w:rFonts w:ascii="Calibri" w:eastAsia="Times New Roman" w:hAnsi="Calibri" w:cs="Calibri"/>
                <w:color w:val="000000"/>
                <w:vertAlign w:val="subscript"/>
              </w:rPr>
              <w:t>2</w:t>
            </w:r>
            <w:r w:rsidRPr="001515D5">
              <w:rPr>
                <w:rFonts w:ascii="Calibri" w:eastAsia="Times New Roman" w:hAnsi="Calibri" w:cs="Calibri"/>
                <w:color w:val="000000"/>
              </w:rPr>
              <w:t>)</w:t>
            </w:r>
          </w:p>
        </w:tc>
        <w:tc>
          <w:tcPr>
            <w:tcW w:w="2312" w:type="dxa"/>
            <w:tcBorders>
              <w:top w:val="nil"/>
              <w:left w:val="nil"/>
              <w:bottom w:val="single" w:sz="4" w:space="0" w:color="auto"/>
              <w:right w:val="single" w:sz="4" w:space="0" w:color="auto"/>
            </w:tcBorders>
            <w:shd w:val="clear" w:color="auto" w:fill="auto"/>
            <w:noWrap/>
            <w:vAlign w:val="bottom"/>
            <w:hideMark/>
          </w:tcPr>
          <w:p w:rsidR="001515D5" w:rsidRPr="001515D5" w:rsidRDefault="003E403B" w:rsidP="002A3EE3">
            <w:pPr>
              <w:spacing w:after="0" w:line="240" w:lineRule="auto"/>
              <w:jc w:val="both"/>
              <w:rPr>
                <w:rFonts w:ascii="Calibri" w:eastAsia="Times New Roman" w:hAnsi="Calibri" w:cs="Calibri"/>
                <w:color w:val="000000"/>
              </w:rPr>
            </w:pPr>
            <w:r>
              <w:rPr>
                <w:rFonts w:ascii="Calibri" w:eastAsia="Times New Roman" w:hAnsi="Calibri" w:cs="Calibri"/>
                <w:color w:val="000000"/>
              </w:rPr>
              <w:t>=</w:t>
            </w:r>
            <w:r w:rsidR="001515D5" w:rsidRPr="001515D5">
              <w:rPr>
                <w:rFonts w:ascii="Calibri" w:eastAsia="Times New Roman" w:hAnsi="Calibri" w:cs="Calibri"/>
                <w:color w:val="000000"/>
              </w:rPr>
              <w:t>P(zero) + (1-P) (O)</w:t>
            </w:r>
          </w:p>
        </w:tc>
      </w:tr>
    </w:tbl>
    <w:p w:rsidR="009654C1" w:rsidRDefault="009654C1" w:rsidP="002A3EE3">
      <w:pPr>
        <w:tabs>
          <w:tab w:val="left" w:pos="945"/>
        </w:tabs>
        <w:jc w:val="both"/>
      </w:pPr>
    </w:p>
    <w:p w:rsidR="000B03AC" w:rsidRDefault="000B03AC" w:rsidP="002A3EE3">
      <w:pPr>
        <w:tabs>
          <w:tab w:val="left" w:pos="945"/>
        </w:tabs>
        <w:jc w:val="both"/>
      </w:pPr>
      <w:r>
        <w:tab/>
      </w:r>
    </w:p>
    <w:p w:rsidR="000B03AC" w:rsidRDefault="000B03AC" w:rsidP="002A3EE3">
      <w:pPr>
        <w:tabs>
          <w:tab w:val="left" w:pos="945"/>
        </w:tabs>
        <w:jc w:val="both"/>
      </w:pPr>
    </w:p>
    <w:p w:rsidR="001515D5" w:rsidRDefault="001515D5" w:rsidP="002A3EE3">
      <w:pPr>
        <w:tabs>
          <w:tab w:val="left" w:pos="945"/>
        </w:tabs>
        <w:jc w:val="both"/>
      </w:pPr>
      <w:r w:rsidRPr="00253B18">
        <w:rPr>
          <w:b/>
        </w:rPr>
        <w:t>Illustration-</w:t>
      </w:r>
      <w:r>
        <w:t xml:space="preserve"> The following estimate data are given:</w:t>
      </w:r>
    </w:p>
    <w:p w:rsidR="001515D5" w:rsidRDefault="001515D5" w:rsidP="002A3EE3">
      <w:pPr>
        <w:tabs>
          <w:tab w:val="left" w:pos="945"/>
        </w:tabs>
        <w:jc w:val="both"/>
      </w:pPr>
      <w:r>
        <w:t>Cost of investigation of variance</w:t>
      </w:r>
      <w:r>
        <w:tab/>
      </w:r>
      <w:r>
        <w:tab/>
      </w:r>
      <w:r>
        <w:tab/>
      </w:r>
      <w:r>
        <w:tab/>
      </w:r>
      <w:proofErr w:type="spellStart"/>
      <w:r>
        <w:t>Rs</w:t>
      </w:r>
      <w:proofErr w:type="spellEnd"/>
      <w:r>
        <w:t>. 6,400</w:t>
      </w:r>
    </w:p>
    <w:p w:rsidR="001515D5" w:rsidRDefault="001515D5" w:rsidP="002A3EE3">
      <w:pPr>
        <w:tabs>
          <w:tab w:val="left" w:pos="945"/>
        </w:tabs>
        <w:jc w:val="both"/>
      </w:pPr>
      <w:r>
        <w:t>Cost of correction of out of control process</w:t>
      </w:r>
      <w:r>
        <w:tab/>
      </w:r>
      <w:r>
        <w:tab/>
      </w:r>
      <w:proofErr w:type="spellStart"/>
      <w:r>
        <w:t>Rs</w:t>
      </w:r>
      <w:proofErr w:type="spellEnd"/>
      <w:r>
        <w:t>. 16,000</w:t>
      </w:r>
    </w:p>
    <w:p w:rsidR="001515D5" w:rsidRDefault="001515D5" w:rsidP="002A3EE3">
      <w:pPr>
        <w:tabs>
          <w:tab w:val="left" w:pos="945"/>
        </w:tabs>
        <w:jc w:val="both"/>
      </w:pPr>
      <w:r>
        <w:lastRenderedPageBreak/>
        <w:t>Cost of allowing the process to remain out of control</w:t>
      </w:r>
      <w:r>
        <w:tab/>
      </w:r>
      <w:proofErr w:type="spellStart"/>
      <w:r>
        <w:t>Rs</w:t>
      </w:r>
      <w:proofErr w:type="spellEnd"/>
      <w:r>
        <w:t>. 80,000</w:t>
      </w:r>
    </w:p>
    <w:p w:rsidR="001515D5" w:rsidRDefault="001515D5" w:rsidP="002A3EE3">
      <w:pPr>
        <w:tabs>
          <w:tab w:val="left" w:pos="945"/>
        </w:tabs>
        <w:jc w:val="both"/>
      </w:pPr>
      <w:r>
        <w:t>Probability of being in control</w:t>
      </w:r>
    </w:p>
    <w:p w:rsidR="001515D5" w:rsidRDefault="001515D5" w:rsidP="002A3EE3">
      <w:pPr>
        <w:pStyle w:val="ListParagraph"/>
        <w:numPr>
          <w:ilvl w:val="0"/>
          <w:numId w:val="3"/>
        </w:numPr>
        <w:tabs>
          <w:tab w:val="left" w:pos="945"/>
        </w:tabs>
        <w:jc w:val="both"/>
      </w:pPr>
      <w:r>
        <w:t>Calculate the expected values of investigating into the variance and advise the management suitably.</w:t>
      </w:r>
    </w:p>
    <w:p w:rsidR="001515D5" w:rsidRDefault="001515D5" w:rsidP="002A3EE3">
      <w:pPr>
        <w:pStyle w:val="ListParagraph"/>
        <w:numPr>
          <w:ilvl w:val="0"/>
          <w:numId w:val="3"/>
        </w:numPr>
        <w:tabs>
          <w:tab w:val="left" w:pos="945"/>
        </w:tabs>
        <w:jc w:val="both"/>
      </w:pPr>
      <w:r>
        <w:t>Calculate the break-even probability.</w:t>
      </w:r>
    </w:p>
    <w:p w:rsidR="002A3EE3" w:rsidRDefault="002A3EE3" w:rsidP="002A3EE3">
      <w:pPr>
        <w:tabs>
          <w:tab w:val="left" w:pos="945"/>
        </w:tabs>
        <w:jc w:val="both"/>
      </w:pPr>
    </w:p>
    <w:p w:rsidR="002A3EE3" w:rsidRDefault="002A3EE3" w:rsidP="002A3EE3">
      <w:pPr>
        <w:tabs>
          <w:tab w:val="left" w:pos="945"/>
        </w:tabs>
        <w:jc w:val="both"/>
      </w:pPr>
      <w:r w:rsidRPr="00253B18">
        <w:rPr>
          <w:b/>
        </w:rPr>
        <w:t>Illustration-</w:t>
      </w:r>
      <w:r w:rsidR="004961DC">
        <w:t xml:space="preserve"> A</w:t>
      </w:r>
      <w:r>
        <w:t xml:space="preserve"> company is using a detailed system of standard costing finds that the cost of investigating of variances is </w:t>
      </w:r>
      <w:proofErr w:type="spellStart"/>
      <w:r>
        <w:t>Rs</w:t>
      </w:r>
      <w:proofErr w:type="spellEnd"/>
      <w:r>
        <w:t xml:space="preserve">. 20,000. If after investigation an out of control situation is discovered, the cost of correction is </w:t>
      </w:r>
      <w:proofErr w:type="spellStart"/>
      <w:r>
        <w:t>Rs</w:t>
      </w:r>
      <w:proofErr w:type="spellEnd"/>
      <w:r>
        <w:t xml:space="preserve">. 30, 000. If no investigation made, the present value of extra cost involved is </w:t>
      </w:r>
      <w:proofErr w:type="spellStart"/>
      <w:r>
        <w:t>Rs</w:t>
      </w:r>
      <w:proofErr w:type="spellEnd"/>
      <w:r>
        <w:t>. 1</w:t>
      </w:r>
      <w:r w:rsidR="00253B18">
        <w:t>, 50, 000</w:t>
      </w:r>
      <w:r>
        <w:t>. The probability of the process being in control is 0.82 and the probability of the process being out of control is 0.18. You are required to advise:</w:t>
      </w:r>
    </w:p>
    <w:p w:rsidR="002A3EE3" w:rsidRDefault="002A3EE3" w:rsidP="002A3EE3">
      <w:pPr>
        <w:pStyle w:val="ListParagraph"/>
        <w:numPr>
          <w:ilvl w:val="0"/>
          <w:numId w:val="4"/>
        </w:numPr>
        <w:tabs>
          <w:tab w:val="left" w:pos="945"/>
        </w:tabs>
        <w:jc w:val="both"/>
      </w:pPr>
      <w:r>
        <w:t>Whether investigation of the variances should be undertaken or not;</w:t>
      </w:r>
    </w:p>
    <w:p w:rsidR="002A3EE3" w:rsidRDefault="002A3EE3" w:rsidP="002A3EE3">
      <w:pPr>
        <w:pStyle w:val="ListParagraph"/>
        <w:numPr>
          <w:ilvl w:val="0"/>
          <w:numId w:val="4"/>
        </w:numPr>
        <w:tabs>
          <w:tab w:val="left" w:pos="945"/>
        </w:tabs>
        <w:jc w:val="both"/>
      </w:pPr>
      <w:r>
        <w:t>The probability at which it is desirable to institute investigation into variances.</w:t>
      </w:r>
    </w:p>
    <w:p w:rsidR="002A3EE3" w:rsidRDefault="002A3EE3" w:rsidP="002A3EE3">
      <w:pPr>
        <w:tabs>
          <w:tab w:val="left" w:pos="945"/>
        </w:tabs>
        <w:jc w:val="both"/>
      </w:pPr>
    </w:p>
    <w:p w:rsidR="002A3EE3" w:rsidRDefault="002A3EE3" w:rsidP="002A3EE3">
      <w:pPr>
        <w:tabs>
          <w:tab w:val="left" w:pos="945"/>
        </w:tabs>
        <w:jc w:val="both"/>
      </w:pPr>
      <w:r w:rsidRPr="00253B18">
        <w:rPr>
          <w:b/>
        </w:rPr>
        <w:t>Illustration-</w:t>
      </w:r>
      <w:r>
        <w:t xml:space="preserve"> </w:t>
      </w:r>
      <w:r w:rsidR="004961DC">
        <w:t>T</w:t>
      </w:r>
      <w:r>
        <w:t>he following estimated data are given:</w:t>
      </w:r>
    </w:p>
    <w:p w:rsidR="002A3EE3" w:rsidRDefault="002A3EE3" w:rsidP="002A3EE3">
      <w:pPr>
        <w:pStyle w:val="ListParagraph"/>
        <w:numPr>
          <w:ilvl w:val="0"/>
          <w:numId w:val="5"/>
        </w:numPr>
        <w:tabs>
          <w:tab w:val="left" w:pos="945"/>
        </w:tabs>
        <w:jc w:val="both"/>
      </w:pPr>
      <w:r>
        <w:t>Cost of investigation of variance</w:t>
      </w:r>
      <w:r>
        <w:tab/>
      </w:r>
      <w:r>
        <w:tab/>
      </w:r>
      <w:r>
        <w:tab/>
      </w:r>
      <w:r>
        <w:tab/>
      </w:r>
      <w:r>
        <w:tab/>
      </w:r>
      <w:r>
        <w:tab/>
      </w:r>
      <w:proofErr w:type="spellStart"/>
      <w:r>
        <w:t>Rs</w:t>
      </w:r>
      <w:proofErr w:type="spellEnd"/>
      <w:r>
        <w:t>. 800</w:t>
      </w:r>
    </w:p>
    <w:p w:rsidR="002A3EE3" w:rsidRDefault="002A3EE3" w:rsidP="002A3EE3">
      <w:pPr>
        <w:pStyle w:val="ListParagraph"/>
        <w:numPr>
          <w:ilvl w:val="0"/>
          <w:numId w:val="5"/>
        </w:numPr>
        <w:tabs>
          <w:tab w:val="left" w:pos="945"/>
        </w:tabs>
        <w:jc w:val="both"/>
      </w:pPr>
      <w:r>
        <w:t>Cost of correcting the out of Control Process</w:t>
      </w:r>
      <w:r>
        <w:tab/>
      </w:r>
      <w:r>
        <w:tab/>
      </w:r>
      <w:r>
        <w:tab/>
      </w:r>
      <w:r>
        <w:tab/>
      </w:r>
      <w:proofErr w:type="spellStart"/>
      <w:r>
        <w:t>Rs</w:t>
      </w:r>
      <w:proofErr w:type="spellEnd"/>
      <w:r>
        <w:t>. 2000</w:t>
      </w:r>
    </w:p>
    <w:p w:rsidR="002A3EE3" w:rsidRDefault="002A3EE3" w:rsidP="002A3EE3">
      <w:pPr>
        <w:pStyle w:val="ListParagraph"/>
        <w:numPr>
          <w:ilvl w:val="0"/>
          <w:numId w:val="5"/>
        </w:numPr>
        <w:tabs>
          <w:tab w:val="left" w:pos="945"/>
        </w:tabs>
        <w:jc w:val="both"/>
      </w:pPr>
      <w:r>
        <w:t>Cost of allowing the process to remain out of Control</w:t>
      </w:r>
      <w:r>
        <w:tab/>
      </w:r>
      <w:r>
        <w:tab/>
      </w:r>
      <w:r>
        <w:tab/>
      </w:r>
      <w:proofErr w:type="spellStart"/>
      <w:r>
        <w:t>Rs</w:t>
      </w:r>
      <w:proofErr w:type="spellEnd"/>
      <w:r>
        <w:t>. 10,000</w:t>
      </w:r>
    </w:p>
    <w:p w:rsidR="002A3EE3" w:rsidRDefault="002A3EE3" w:rsidP="002A3EE3">
      <w:pPr>
        <w:pStyle w:val="ListParagraph"/>
        <w:numPr>
          <w:ilvl w:val="0"/>
          <w:numId w:val="5"/>
        </w:numPr>
        <w:tabs>
          <w:tab w:val="left" w:pos="945"/>
        </w:tabs>
        <w:jc w:val="both"/>
      </w:pPr>
      <w:r>
        <w:t>Probability of being in  control</w:t>
      </w:r>
      <w:r>
        <w:tab/>
      </w:r>
      <w:r>
        <w:tab/>
      </w:r>
      <w:r>
        <w:tab/>
      </w:r>
      <w:r>
        <w:tab/>
      </w:r>
      <w:r>
        <w:tab/>
      </w:r>
      <w:r>
        <w:tab/>
        <w:t xml:space="preserve">         0.95</w:t>
      </w:r>
    </w:p>
    <w:p w:rsidR="002A3EE3" w:rsidRDefault="002A3EE3" w:rsidP="002A3EE3">
      <w:pPr>
        <w:pStyle w:val="ListParagraph"/>
        <w:numPr>
          <w:ilvl w:val="0"/>
          <w:numId w:val="5"/>
        </w:numPr>
        <w:tabs>
          <w:tab w:val="left" w:pos="945"/>
        </w:tabs>
        <w:jc w:val="both"/>
      </w:pPr>
      <w:r>
        <w:t>Probability of being out of control</w:t>
      </w:r>
      <w:r>
        <w:tab/>
      </w:r>
      <w:r>
        <w:tab/>
      </w:r>
      <w:r>
        <w:tab/>
      </w:r>
      <w:r>
        <w:tab/>
      </w:r>
      <w:r>
        <w:tab/>
        <w:t xml:space="preserve">          0.05</w:t>
      </w:r>
    </w:p>
    <w:p w:rsidR="002A3EE3" w:rsidRDefault="00253B18" w:rsidP="002A3EE3">
      <w:pPr>
        <w:tabs>
          <w:tab w:val="left" w:pos="945"/>
        </w:tabs>
        <w:jc w:val="both"/>
      </w:pPr>
      <w:r>
        <w:t>Calculate the expected value of investigating and not investigating.</w:t>
      </w:r>
    </w:p>
    <w:p w:rsidR="002A3EE3" w:rsidRPr="000B03AC" w:rsidRDefault="002A3EE3" w:rsidP="002A3EE3">
      <w:pPr>
        <w:tabs>
          <w:tab w:val="left" w:pos="945"/>
        </w:tabs>
        <w:jc w:val="both"/>
      </w:pPr>
      <w:r w:rsidRPr="00253B18">
        <w:rPr>
          <w:b/>
        </w:rPr>
        <w:t>Illustration-</w:t>
      </w:r>
      <w:r>
        <w:t xml:space="preserve"> The production manager must decide whether or not to investigate the material usage variance in June 19</w:t>
      </w:r>
      <w:r w:rsidR="004961DC">
        <w:t>9</w:t>
      </w:r>
      <w:r>
        <w:t xml:space="preserve">8. He believes that there is a 0.3 probability that the variance is controllable but the cost of investigating the matter would be </w:t>
      </w:r>
      <w:proofErr w:type="spellStart"/>
      <w:r>
        <w:t>Rs</w:t>
      </w:r>
      <w:proofErr w:type="spellEnd"/>
      <w:r>
        <w:t xml:space="preserve">. 90 and a further </w:t>
      </w:r>
      <w:proofErr w:type="spellStart"/>
      <w:r>
        <w:t>Rs</w:t>
      </w:r>
      <w:proofErr w:type="spellEnd"/>
      <w:r>
        <w:t xml:space="preserve">. 120 would be incurred if control action is found to be necessary. Determine what must be the minimum expected benefits from control action to justify investigation of the material usage variance? </w:t>
      </w:r>
    </w:p>
    <w:sectPr w:rsidR="002A3EE3" w:rsidRPr="000B0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82222"/>
    <w:multiLevelType w:val="hybridMultilevel"/>
    <w:tmpl w:val="63201D92"/>
    <w:lvl w:ilvl="0" w:tplc="D1CAB4CC">
      <w:start w:val="1"/>
      <w:numFmt w:val="lowerRoman"/>
      <w:lvlText w:val="(%1)"/>
      <w:lvlJc w:val="left"/>
      <w:pPr>
        <w:ind w:left="1665" w:hanging="72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1" w15:restartNumberingAfterBreak="0">
    <w:nsid w:val="0A8C52CA"/>
    <w:multiLevelType w:val="hybridMultilevel"/>
    <w:tmpl w:val="C6B0EEA0"/>
    <w:lvl w:ilvl="0" w:tplc="8FAC5D24">
      <w:start w:val="1"/>
      <w:numFmt w:val="lowerRoman"/>
      <w:lvlText w:val="(%1)"/>
      <w:lvlJc w:val="left"/>
      <w:pPr>
        <w:ind w:left="1665" w:hanging="72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2" w15:restartNumberingAfterBreak="0">
    <w:nsid w:val="0E57414B"/>
    <w:multiLevelType w:val="hybridMultilevel"/>
    <w:tmpl w:val="ABEAC940"/>
    <w:lvl w:ilvl="0" w:tplc="856E56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8933A0"/>
    <w:multiLevelType w:val="hybridMultilevel"/>
    <w:tmpl w:val="1C925180"/>
    <w:lvl w:ilvl="0" w:tplc="A48059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9F1F2C"/>
    <w:multiLevelType w:val="hybridMultilevel"/>
    <w:tmpl w:val="05248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B9D"/>
    <w:rsid w:val="000B03AC"/>
    <w:rsid w:val="001515D5"/>
    <w:rsid w:val="00186513"/>
    <w:rsid w:val="00253B18"/>
    <w:rsid w:val="002A3EE3"/>
    <w:rsid w:val="003E403B"/>
    <w:rsid w:val="00494B9D"/>
    <w:rsid w:val="004961DC"/>
    <w:rsid w:val="005F6F97"/>
    <w:rsid w:val="00637FBC"/>
    <w:rsid w:val="008064FB"/>
    <w:rsid w:val="009654C1"/>
    <w:rsid w:val="00B051D7"/>
    <w:rsid w:val="00B72E27"/>
    <w:rsid w:val="00BE62D7"/>
    <w:rsid w:val="00C951AD"/>
    <w:rsid w:val="00EE7D55"/>
    <w:rsid w:val="00F060ED"/>
    <w:rsid w:val="00F26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D4018C-85A3-4FDB-A992-BF2F9F1F3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4B9D"/>
    <w:pPr>
      <w:ind w:left="720"/>
      <w:contextualSpacing/>
    </w:pPr>
  </w:style>
  <w:style w:type="paragraph" w:styleId="BalloonText">
    <w:name w:val="Balloon Text"/>
    <w:basedOn w:val="Normal"/>
    <w:link w:val="BalloonTextChar"/>
    <w:uiPriority w:val="99"/>
    <w:semiHidden/>
    <w:unhideWhenUsed/>
    <w:rsid w:val="000B03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03A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903480">
      <w:bodyDiv w:val="1"/>
      <w:marLeft w:val="0"/>
      <w:marRight w:val="0"/>
      <w:marTop w:val="0"/>
      <w:marBottom w:val="0"/>
      <w:divBdr>
        <w:top w:val="none" w:sz="0" w:space="0" w:color="auto"/>
        <w:left w:val="none" w:sz="0" w:space="0" w:color="auto"/>
        <w:bottom w:val="none" w:sz="0" w:space="0" w:color="auto"/>
        <w:right w:val="none" w:sz="0" w:space="0" w:color="auto"/>
      </w:divBdr>
    </w:div>
    <w:div w:id="107177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908</Words>
  <Characters>5181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IIM</cp:lastModifiedBy>
  <cp:revision>6</cp:revision>
  <dcterms:created xsi:type="dcterms:W3CDTF">2016-12-05T06:54:00Z</dcterms:created>
  <dcterms:modified xsi:type="dcterms:W3CDTF">2019-12-17T08:18:00Z</dcterms:modified>
</cp:coreProperties>
</file>