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7EDF" w:rsidRDefault="004E7EDF" w:rsidP="004E7EDF">
      <w:pPr>
        <w:spacing w:after="0" w:line="240" w:lineRule="auto"/>
        <w:jc w:val="both"/>
      </w:pPr>
    </w:p>
    <w:p w:rsidR="004E7EDF" w:rsidRDefault="004E7EDF" w:rsidP="001E163D">
      <w:pPr>
        <w:spacing w:after="0"/>
        <w:jc w:val="both"/>
      </w:pPr>
    </w:p>
    <w:p w:rsidR="004E7EDF" w:rsidRPr="004E7EDF" w:rsidRDefault="004E7EDF" w:rsidP="004E7EDF">
      <w:pPr>
        <w:jc w:val="both"/>
        <w:rPr>
          <w:b/>
          <w:sz w:val="24"/>
          <w:szCs w:val="28"/>
          <w:u w:val="single"/>
        </w:rPr>
      </w:pPr>
      <w:r w:rsidRPr="004E7EDF">
        <w:rPr>
          <w:b/>
          <w:sz w:val="24"/>
          <w:szCs w:val="28"/>
          <w:u w:val="single"/>
        </w:rPr>
        <w:t>CVP ANALYSIS AND NON-UNIT COST DERIVATIVE</w:t>
      </w:r>
    </w:p>
    <w:p w:rsidR="004E7EDF" w:rsidRDefault="004E7EDF" w:rsidP="004E7EDF">
      <w:pPr>
        <w:jc w:val="both"/>
      </w:pPr>
      <w:r>
        <w:t>Conventional CVP analysis assumes that all costs of the firm can be divided into two categories: those that vary with sales volume (variable costs) and those that do not (fixed cost). Furthermore, costs are assumed to be a linear function of sales volume</w:t>
      </w:r>
      <w:r w:rsidRPr="00EE0C14">
        <w:rPr>
          <w:color w:val="FF0000"/>
        </w:rPr>
        <w:t>. Frequently, however, there are costs that vary with non-unit cost drivers</w:t>
      </w:r>
      <w:r>
        <w:t>. Any activity-based costing (ABC) system, in which costs are divided into unit- and non-unit-based categories, is a good example of this. Some costs, such as setting up of production equipment, vary with the number of batches, other costs, such as purchasing and receiving costs, may vary with the number of different products</w:t>
      </w:r>
      <w:r w:rsidRPr="00EE0C14">
        <w:rPr>
          <w:color w:val="FF0000"/>
        </w:rPr>
        <w:t>.  In conventional CVP, those non-unit variable costs are assumed to be fixed</w:t>
      </w:r>
      <w:r>
        <w:t>. However, CVP can be modified to take account of the richer set of variable costs. This type of modification can make CVP even more useful, since it provides more accurate insights concerning cost behavior. These insights produce better decisions.</w:t>
      </w:r>
    </w:p>
    <w:p w:rsidR="004E7EDF" w:rsidRDefault="004E7EDF" w:rsidP="004E7EDF">
      <w:pPr>
        <w:jc w:val="both"/>
      </w:pPr>
      <w:r>
        <w:t>To illustrate, assume that a company’s costs can be explained by three variables: a unit-level cost driver, units sold; a batch-level cost driver, number of setups; and a product-level cost driver, engineering hours. The cost equation can then be expressed as follows:</w:t>
      </w:r>
    </w:p>
    <w:p w:rsidR="004E7EDF" w:rsidRDefault="004E7EDF" w:rsidP="004E7EDF">
      <w:pPr>
        <w:jc w:val="both"/>
      </w:pPr>
      <w:r>
        <w:t xml:space="preserve">  Total cost = Fixed cost + (unit variable cost X Number of units) + (Setup costs X Number of setups) + (Engineering costs X Number of engineering hours)</w:t>
      </w:r>
    </w:p>
    <w:p w:rsidR="004E7EDF" w:rsidRDefault="004E7EDF" w:rsidP="004E7EDF">
      <w:pPr>
        <w:jc w:val="both"/>
      </w:pPr>
      <w:r>
        <w:t>Operating income, as before, is total revenue minus total cost. This is expressed as follows:</w:t>
      </w:r>
    </w:p>
    <w:p w:rsidR="004E7EDF" w:rsidRDefault="004E7EDF" w:rsidP="004E7EDF">
      <w:pPr>
        <w:jc w:val="both"/>
      </w:pPr>
      <w:r>
        <w:t xml:space="preserve"> Operating Income = Total revenue – [Fixed costs + (Unit variable cost X Number of units) + (Setup cost X Number of setups) + (Engineering costs X Number of engineering hours)]</w:t>
      </w:r>
    </w:p>
    <w:p w:rsidR="004E7EDF" w:rsidRDefault="004E7EDF" w:rsidP="004E7EDF">
      <w:pPr>
        <w:jc w:val="both"/>
      </w:pPr>
      <w:r>
        <w:t>Let’s use the contribution margin approach to calculate the break-even point in units. At break-even, operating income is zero, and the number of units that must be sold to achieve breakeven is as follows:</w:t>
      </w:r>
    </w:p>
    <w:p w:rsidR="004E7EDF" w:rsidRDefault="004E7EDF" w:rsidP="004E7EDF">
      <w:pPr>
        <w:jc w:val="both"/>
      </w:pPr>
      <w:r>
        <w:t>Break-even units = [Fixed costs + (Setup cost X Number of setups) + (Engineering costs X Number of engineering hours)] / (Price – Unit variable cost)</w:t>
      </w:r>
    </w:p>
    <w:p w:rsidR="004E7EDF" w:rsidRDefault="004E7EDF" w:rsidP="004E7EDF">
      <w:pPr>
        <w:jc w:val="both"/>
      </w:pPr>
      <w:r>
        <w:t>A comparison of the ABC break-even point with the conventional break-even point reveals two significant differences. First, the fixed costs differ. Some costs previously identified as fixed may actually vary with non-unit cost drivers, in this case setups and engineering hours. Second, the numerator of the ABC break-even equation has two non-unit-variable cost terms: one for batch-related activities and one for product-sustaining activities.</w:t>
      </w:r>
    </w:p>
    <w:p w:rsidR="004E7EDF" w:rsidRDefault="004E7EDF" w:rsidP="004E7EDF">
      <w:pPr>
        <w:spacing w:line="240" w:lineRule="auto"/>
        <w:jc w:val="both"/>
      </w:pPr>
    </w:p>
    <w:p w:rsidR="004E7EDF" w:rsidRDefault="004E7EDF" w:rsidP="004E7EDF">
      <w:pPr>
        <w:spacing w:line="240" w:lineRule="auto"/>
        <w:jc w:val="both"/>
      </w:pPr>
    </w:p>
    <w:p w:rsidR="004E7EDF" w:rsidRDefault="004E7EDF" w:rsidP="004E7EDF">
      <w:pPr>
        <w:spacing w:line="240" w:lineRule="auto"/>
        <w:jc w:val="both"/>
      </w:pPr>
    </w:p>
    <w:p w:rsidR="004E7EDF" w:rsidRDefault="004E7EDF" w:rsidP="004E7EDF">
      <w:pPr>
        <w:spacing w:line="240" w:lineRule="auto"/>
        <w:jc w:val="both"/>
      </w:pPr>
    </w:p>
    <w:p w:rsidR="004E7EDF" w:rsidRDefault="004E7EDF" w:rsidP="004E7EDF">
      <w:pPr>
        <w:jc w:val="both"/>
        <w:rPr>
          <w:b/>
          <w:sz w:val="28"/>
          <w:szCs w:val="28"/>
        </w:rPr>
      </w:pPr>
      <w:r>
        <w:rPr>
          <w:b/>
          <w:sz w:val="28"/>
          <w:szCs w:val="28"/>
        </w:rPr>
        <w:lastRenderedPageBreak/>
        <w:t>Example Comparing Conventional and ABC Analysis</w:t>
      </w:r>
    </w:p>
    <w:p w:rsidR="004E7EDF" w:rsidRDefault="004E7EDF" w:rsidP="004E7EDF">
      <w:pPr>
        <w:jc w:val="both"/>
      </w:pPr>
      <w:r>
        <w:t>To make previous discussion more concrete, a comparison of cost-volume-profit analysis with activity-based costing is useful. Let’s assume that a company wants to compute the units that must be sold to earn a before-tax profit $20,000. The analysis is based on the following data:</w:t>
      </w:r>
    </w:p>
    <w:p w:rsidR="004E7EDF" w:rsidRPr="00BB3AE7" w:rsidRDefault="004E7EDF" w:rsidP="004E7EDF">
      <w:pPr>
        <w:spacing w:line="240" w:lineRule="auto"/>
        <w:jc w:val="both"/>
      </w:pPr>
    </w:p>
    <w:tbl>
      <w:tblPr>
        <w:tblStyle w:val="TableGrid"/>
        <w:tblW w:w="0" w:type="auto"/>
        <w:tblInd w:w="828" w:type="dxa"/>
        <w:tblLook w:val="04A0" w:firstRow="1" w:lastRow="0" w:firstColumn="1" w:lastColumn="0" w:noHBand="0" w:noVBand="1"/>
      </w:tblPr>
      <w:tblGrid>
        <w:gridCol w:w="2364"/>
        <w:gridCol w:w="2496"/>
        <w:gridCol w:w="2700"/>
      </w:tblGrid>
      <w:tr w:rsidR="004E7EDF" w:rsidTr="00C3760E">
        <w:tc>
          <w:tcPr>
            <w:tcW w:w="2364" w:type="dxa"/>
          </w:tcPr>
          <w:p w:rsidR="004E7EDF" w:rsidRPr="009039A4" w:rsidRDefault="004E7EDF" w:rsidP="00C3760E">
            <w:pPr>
              <w:rPr>
                <w:b/>
              </w:rPr>
            </w:pPr>
            <w:r>
              <w:rPr>
                <w:b/>
              </w:rPr>
              <w:t>Cost Driver</w:t>
            </w:r>
          </w:p>
        </w:tc>
        <w:tc>
          <w:tcPr>
            <w:tcW w:w="2496" w:type="dxa"/>
          </w:tcPr>
          <w:p w:rsidR="004E7EDF" w:rsidRDefault="004E7EDF" w:rsidP="00C3760E">
            <w:pPr>
              <w:rPr>
                <w:b/>
              </w:rPr>
            </w:pPr>
            <w:r>
              <w:rPr>
                <w:b/>
              </w:rPr>
              <w:t xml:space="preserve">Data About Variables </w:t>
            </w:r>
          </w:p>
          <w:p w:rsidR="004E7EDF" w:rsidRPr="009039A4" w:rsidRDefault="004E7EDF" w:rsidP="00C3760E">
            <w:pPr>
              <w:rPr>
                <w:b/>
              </w:rPr>
            </w:pPr>
            <w:r>
              <w:rPr>
                <w:b/>
              </w:rPr>
              <w:t>Unit Variable Cost</w:t>
            </w:r>
          </w:p>
        </w:tc>
        <w:tc>
          <w:tcPr>
            <w:tcW w:w="2700" w:type="dxa"/>
          </w:tcPr>
          <w:p w:rsidR="004E7EDF" w:rsidRPr="009039A4" w:rsidRDefault="004E7EDF" w:rsidP="00C3760E">
            <w:pPr>
              <w:rPr>
                <w:b/>
              </w:rPr>
            </w:pPr>
            <w:r>
              <w:rPr>
                <w:b/>
              </w:rPr>
              <w:t>Level of Cost Driver</w:t>
            </w:r>
          </w:p>
        </w:tc>
      </w:tr>
      <w:tr w:rsidR="004E7EDF" w:rsidTr="00C3760E">
        <w:tc>
          <w:tcPr>
            <w:tcW w:w="2364" w:type="dxa"/>
          </w:tcPr>
          <w:p w:rsidR="004E7EDF" w:rsidRDefault="004E7EDF" w:rsidP="00C3760E">
            <w:r>
              <w:t>Units sold</w:t>
            </w:r>
          </w:p>
        </w:tc>
        <w:tc>
          <w:tcPr>
            <w:tcW w:w="2496" w:type="dxa"/>
          </w:tcPr>
          <w:p w:rsidR="004E7EDF" w:rsidRDefault="004E7EDF" w:rsidP="00C3760E">
            <w:pPr>
              <w:jc w:val="center"/>
            </w:pPr>
            <w:r>
              <w:t>$ 10</w:t>
            </w:r>
          </w:p>
        </w:tc>
        <w:tc>
          <w:tcPr>
            <w:tcW w:w="2700" w:type="dxa"/>
          </w:tcPr>
          <w:p w:rsidR="004E7EDF" w:rsidRDefault="004E7EDF" w:rsidP="00C3760E">
            <w:pPr>
              <w:jc w:val="center"/>
            </w:pPr>
            <w:r>
              <w:t>---</w:t>
            </w:r>
          </w:p>
        </w:tc>
      </w:tr>
      <w:tr w:rsidR="004E7EDF" w:rsidTr="00C3760E">
        <w:tc>
          <w:tcPr>
            <w:tcW w:w="2364" w:type="dxa"/>
          </w:tcPr>
          <w:p w:rsidR="004E7EDF" w:rsidRDefault="004E7EDF" w:rsidP="00C3760E">
            <w:r>
              <w:t>Setups</w:t>
            </w:r>
          </w:p>
        </w:tc>
        <w:tc>
          <w:tcPr>
            <w:tcW w:w="2496" w:type="dxa"/>
          </w:tcPr>
          <w:p w:rsidR="004E7EDF" w:rsidRDefault="004E7EDF" w:rsidP="00C3760E">
            <w:pPr>
              <w:jc w:val="center"/>
            </w:pPr>
            <w:r>
              <w:t>1,000</w:t>
            </w:r>
          </w:p>
        </w:tc>
        <w:tc>
          <w:tcPr>
            <w:tcW w:w="2700" w:type="dxa"/>
          </w:tcPr>
          <w:p w:rsidR="004E7EDF" w:rsidRDefault="004E7EDF" w:rsidP="00C3760E">
            <w:pPr>
              <w:jc w:val="center"/>
            </w:pPr>
            <w:r>
              <w:t>20</w:t>
            </w:r>
          </w:p>
        </w:tc>
      </w:tr>
      <w:tr w:rsidR="004E7EDF" w:rsidTr="00C3760E">
        <w:tc>
          <w:tcPr>
            <w:tcW w:w="2364" w:type="dxa"/>
          </w:tcPr>
          <w:p w:rsidR="004E7EDF" w:rsidRDefault="004E7EDF" w:rsidP="00C3760E">
            <w:r>
              <w:t>Engineering hours</w:t>
            </w:r>
          </w:p>
        </w:tc>
        <w:tc>
          <w:tcPr>
            <w:tcW w:w="2496" w:type="dxa"/>
          </w:tcPr>
          <w:p w:rsidR="004E7EDF" w:rsidRDefault="004E7EDF" w:rsidP="00C3760E">
            <w:pPr>
              <w:jc w:val="center"/>
            </w:pPr>
            <w:r>
              <w:t>30</w:t>
            </w:r>
          </w:p>
        </w:tc>
        <w:tc>
          <w:tcPr>
            <w:tcW w:w="2700" w:type="dxa"/>
          </w:tcPr>
          <w:p w:rsidR="004E7EDF" w:rsidRDefault="004E7EDF" w:rsidP="00C3760E">
            <w:pPr>
              <w:jc w:val="center"/>
            </w:pPr>
            <w:r>
              <w:t>1,000</w:t>
            </w:r>
          </w:p>
        </w:tc>
      </w:tr>
    </w:tbl>
    <w:p w:rsidR="004E7EDF" w:rsidRDefault="004E7EDF" w:rsidP="004E7EDF">
      <w:pPr>
        <w:spacing w:line="240" w:lineRule="auto"/>
      </w:pPr>
    </w:p>
    <w:p w:rsidR="004E7EDF" w:rsidRDefault="004E7EDF" w:rsidP="004E7EDF">
      <w:pPr>
        <w:spacing w:line="240" w:lineRule="auto"/>
      </w:pPr>
      <w:r>
        <w:t>Other data:</w:t>
      </w:r>
    </w:p>
    <w:p w:rsidR="004E7EDF" w:rsidRDefault="004E7EDF" w:rsidP="004E7EDF">
      <w:pPr>
        <w:spacing w:after="0" w:line="240" w:lineRule="auto"/>
        <w:ind w:left="1440"/>
      </w:pPr>
      <w:r>
        <w:t>Total Fixed costs (conventional)                 $100,000</w:t>
      </w:r>
    </w:p>
    <w:p w:rsidR="004E7EDF" w:rsidRDefault="004E7EDF" w:rsidP="004E7EDF">
      <w:pPr>
        <w:spacing w:after="0" w:line="240" w:lineRule="auto"/>
        <w:ind w:left="1440"/>
      </w:pPr>
      <w:r>
        <w:t>Total Fixed costs (fixed)                                   50,000</w:t>
      </w:r>
    </w:p>
    <w:p w:rsidR="004E7EDF" w:rsidRDefault="004E7EDF" w:rsidP="004E7EDF">
      <w:pPr>
        <w:spacing w:after="0" w:line="240" w:lineRule="auto"/>
        <w:ind w:left="1440"/>
      </w:pPr>
      <w:r>
        <w:t>Unit selling price                                                        20</w:t>
      </w:r>
    </w:p>
    <w:p w:rsidR="004E7EDF" w:rsidRDefault="004E7EDF" w:rsidP="004E7EDF">
      <w:pPr>
        <w:spacing w:after="0" w:line="240" w:lineRule="auto"/>
        <w:ind w:left="1440"/>
      </w:pPr>
    </w:p>
    <w:p w:rsidR="004E7EDF" w:rsidRDefault="004E7EDF" w:rsidP="004E7EDF">
      <w:pPr>
        <w:spacing w:after="0" w:line="240" w:lineRule="auto"/>
        <w:jc w:val="both"/>
      </w:pPr>
      <w:r>
        <w:t>The units that must be sold to earn a before-tax profit of $20,000 are computed as follows:</w:t>
      </w:r>
    </w:p>
    <w:p w:rsidR="004E7EDF" w:rsidRDefault="004E7EDF" w:rsidP="004E7EDF">
      <w:pPr>
        <w:spacing w:after="0" w:line="240" w:lineRule="auto"/>
        <w:jc w:val="both"/>
      </w:pPr>
    </w:p>
    <w:p w:rsidR="004E7EDF" w:rsidRDefault="004E7EDF" w:rsidP="004E7EDF">
      <w:pPr>
        <w:spacing w:after="0" w:line="240" w:lineRule="auto"/>
      </w:pPr>
      <w:r>
        <w:t>Units = (Targeted income + Fixed costs)/ (Price - Unit variable cost)</w:t>
      </w:r>
    </w:p>
    <w:p w:rsidR="004E7EDF" w:rsidRDefault="004E7EDF" w:rsidP="004E7EDF">
      <w:pPr>
        <w:spacing w:after="0" w:line="240" w:lineRule="auto"/>
        <w:ind w:firstLine="720"/>
      </w:pPr>
      <w:r>
        <w:t>= ($20,000 + $100,000)/ ($20 - $10)</w:t>
      </w:r>
    </w:p>
    <w:p w:rsidR="004E7EDF" w:rsidRDefault="004E7EDF" w:rsidP="004E7EDF">
      <w:pPr>
        <w:spacing w:after="0" w:line="240" w:lineRule="auto"/>
        <w:ind w:firstLine="720"/>
        <w:jc w:val="both"/>
      </w:pPr>
      <w:r>
        <w:t>= 12,000</w:t>
      </w:r>
    </w:p>
    <w:p w:rsidR="004E7EDF" w:rsidRDefault="004E7EDF" w:rsidP="004E7EDF">
      <w:pPr>
        <w:spacing w:after="0" w:line="240" w:lineRule="auto"/>
        <w:ind w:firstLine="720"/>
        <w:jc w:val="both"/>
      </w:pPr>
    </w:p>
    <w:p w:rsidR="004E7EDF" w:rsidRDefault="004E7EDF" w:rsidP="004E7EDF">
      <w:pPr>
        <w:spacing w:after="0" w:line="240" w:lineRule="auto"/>
        <w:jc w:val="both"/>
      </w:pPr>
      <w:r>
        <w:t>Using the ABC equation, the units that must be sold to earn an operating income of $20,000 are computed as follows:</w:t>
      </w:r>
    </w:p>
    <w:p w:rsidR="004E7EDF" w:rsidRDefault="004E7EDF" w:rsidP="004E7EDF">
      <w:pPr>
        <w:spacing w:line="240" w:lineRule="auto"/>
      </w:pPr>
      <w:r>
        <w:t xml:space="preserve">Units = [Targeted income + Fixed costs + (Setup cost X Setups) </w:t>
      </w:r>
    </w:p>
    <w:p w:rsidR="004E7EDF" w:rsidRDefault="004E7EDF" w:rsidP="004E7EDF">
      <w:pPr>
        <w:spacing w:after="0" w:line="240" w:lineRule="auto"/>
      </w:pPr>
      <w:r>
        <w:t>+ (Engineering rate X Engineering hours)]/ (Price – Unit variable cost)</w:t>
      </w:r>
    </w:p>
    <w:p w:rsidR="004E7EDF" w:rsidRDefault="004E7EDF" w:rsidP="004E7EDF">
      <w:pPr>
        <w:spacing w:after="0" w:line="240" w:lineRule="auto"/>
      </w:pPr>
      <w:r>
        <w:t xml:space="preserve"> = ($20,000 + $50,000 + $20,000 + $30,000)/ ($20-$10)</w:t>
      </w:r>
    </w:p>
    <w:p w:rsidR="004E7EDF" w:rsidRDefault="004E7EDF" w:rsidP="004E7EDF">
      <w:pPr>
        <w:spacing w:after="0" w:line="240" w:lineRule="auto"/>
      </w:pPr>
      <w:r>
        <w:t xml:space="preserve"> =$12,000/$10</w:t>
      </w:r>
    </w:p>
    <w:p w:rsidR="004E7EDF" w:rsidRDefault="004E7EDF" w:rsidP="004E7EDF">
      <w:pPr>
        <w:spacing w:after="0" w:line="240" w:lineRule="auto"/>
        <w:jc w:val="both"/>
      </w:pPr>
      <w:r>
        <w:t xml:space="preserve">  =12,000</w:t>
      </w:r>
    </w:p>
    <w:p w:rsidR="004E7EDF" w:rsidRDefault="004E7EDF" w:rsidP="004E7EDF">
      <w:pPr>
        <w:spacing w:after="0" w:line="240" w:lineRule="auto"/>
        <w:jc w:val="both"/>
      </w:pPr>
    </w:p>
    <w:p w:rsidR="004E7EDF" w:rsidRDefault="004E7EDF" w:rsidP="004E7EDF">
      <w:pPr>
        <w:spacing w:after="0" w:line="240" w:lineRule="auto"/>
        <w:jc w:val="both"/>
        <w:sectPr w:rsidR="004E7EDF" w:rsidSect="004E7EDF">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t>The number of units that must be sold is identical under both approaches. The reason is simple. The total fixed cost pool under conventional costing consists of non-unit-based variable costs plus costs that are fixed regardless of the cost driver. ABC breaks out the non-unit-based variable costs. These costs are associated with certain levels of each cost driver. For the batch-level cost driver, the level is 20 setups; for the product level variable, the level is 1,000 engineering hours. As long as the levels of activity for the non-unit-based cost drivers remain the same, then the results for the conventional and ABC computations will also be the same. But these levels can change, and because of this, the information provided by the two approaches can be significantly different. The ABC equation for CVP analysis is a richer representation of the underlying cost behavior and can provide important strategic insights. To see this, let’s use the same data provided and look at a different application.</w:t>
      </w:r>
    </w:p>
    <w:p w:rsidR="004E7EDF" w:rsidRDefault="004E7EDF" w:rsidP="001E163D">
      <w:pPr>
        <w:spacing w:after="0"/>
        <w:jc w:val="both"/>
      </w:pPr>
    </w:p>
    <w:p w:rsidR="004E7EDF" w:rsidRDefault="004E7EDF" w:rsidP="001E163D">
      <w:pPr>
        <w:spacing w:after="0"/>
        <w:jc w:val="both"/>
      </w:pPr>
    </w:p>
    <w:p w:rsidR="004E7EDF" w:rsidRPr="004E7EDF" w:rsidRDefault="004E7EDF" w:rsidP="004E7EDF">
      <w:pPr>
        <w:jc w:val="both"/>
        <w:rPr>
          <w:b/>
          <w:sz w:val="24"/>
          <w:szCs w:val="28"/>
          <w:u w:val="single"/>
        </w:rPr>
      </w:pPr>
      <w:r w:rsidRPr="006D01DE">
        <w:rPr>
          <w:b/>
          <w:color w:val="FF0000"/>
          <w:sz w:val="24"/>
          <w:szCs w:val="28"/>
          <w:u w:val="single"/>
        </w:rPr>
        <w:t>STRATEGIC IMPLICATIONS</w:t>
      </w:r>
      <w:r w:rsidRPr="004E7EDF">
        <w:rPr>
          <w:b/>
          <w:sz w:val="24"/>
          <w:szCs w:val="28"/>
          <w:u w:val="single"/>
        </w:rPr>
        <w:t>: CONVENTIONAL CVP ANALYSIS VERSUS ABC ANALYSIS</w:t>
      </w:r>
    </w:p>
    <w:p w:rsidR="004E7EDF" w:rsidRPr="001C0832" w:rsidRDefault="004E7EDF" w:rsidP="004E7EDF">
      <w:pPr>
        <w:jc w:val="both"/>
        <w:rPr>
          <w:b/>
          <w:color w:val="00B0F0"/>
        </w:rPr>
      </w:pPr>
      <w:r w:rsidRPr="001C0832">
        <w:rPr>
          <w:b/>
          <w:color w:val="00B0F0"/>
        </w:rPr>
        <w:t xml:space="preserve">Suppose that after the conventional CVP analysis, marketing indicates that only 10,000 units can be sold, not the 12,000 anticipated earlier. The president of the company directs the product design engineers to find a way to reduce the cost of making the product. The engineers also have been told that the conventional cost equation, with fixed costs of $100,000 and a unit variable cost of $10, holds. The variable cost of $10 per unit consists of the following: direct labor, $4; direct materials, $5; and variable </w:t>
      </w:r>
      <w:proofErr w:type="spellStart"/>
      <w:r w:rsidRPr="001C0832">
        <w:rPr>
          <w:b/>
          <w:color w:val="00B0F0"/>
        </w:rPr>
        <w:t>over head</w:t>
      </w:r>
      <w:proofErr w:type="spellEnd"/>
      <w:r w:rsidRPr="001C0832">
        <w:rPr>
          <w:b/>
          <w:color w:val="00B0F0"/>
        </w:rPr>
        <w:t>, $1. To comply with the request to reduce the break-even point, engineering produces a new design that requires less labor, thereby reducing the direct labor cost by $2 per unit. The design would not affect direct materials or variable overhead. The new variable cost is $8 per unit, and the break-even point is calculated as follows:</w:t>
      </w:r>
    </w:p>
    <w:p w:rsidR="004E7EDF" w:rsidRDefault="004E7EDF" w:rsidP="004E7EDF">
      <w:pPr>
        <w:spacing w:after="0"/>
        <w:jc w:val="both"/>
      </w:pPr>
      <w:r>
        <w:t>Units= Fixed costs/ (Price- Unit variable cost)</w:t>
      </w:r>
    </w:p>
    <w:p w:rsidR="004E7EDF" w:rsidRDefault="004E7EDF" w:rsidP="004E7EDF">
      <w:pPr>
        <w:spacing w:after="0"/>
        <w:jc w:val="both"/>
      </w:pPr>
      <w:r>
        <w:t>= $100,000/ ($20-$8)</w:t>
      </w:r>
    </w:p>
    <w:p w:rsidR="004E7EDF" w:rsidRDefault="004E7EDF" w:rsidP="004E7EDF">
      <w:pPr>
        <w:spacing w:after="0"/>
        <w:jc w:val="both"/>
      </w:pPr>
      <w:r>
        <w:t xml:space="preserve"> = 8,333</w:t>
      </w:r>
    </w:p>
    <w:p w:rsidR="004E7EDF" w:rsidRDefault="004E7EDF" w:rsidP="004E7EDF">
      <w:pPr>
        <w:spacing w:after="0"/>
        <w:jc w:val="both"/>
      </w:pPr>
      <w:r>
        <w:t>The projected income if 10,000 units are sold is computed as follows:</w:t>
      </w:r>
    </w:p>
    <w:p w:rsidR="004E7EDF" w:rsidRDefault="004E7EDF" w:rsidP="004E7EDF">
      <w:pPr>
        <w:spacing w:after="0"/>
        <w:jc w:val="both"/>
      </w:pPr>
      <w:r>
        <w:tab/>
      </w:r>
      <w:r>
        <w:tab/>
      </w:r>
      <w:r>
        <w:tab/>
        <w:t xml:space="preserve">Sales ($20 </w:t>
      </w:r>
      <w:r>
        <w:rPr>
          <w:rFonts w:cstheme="minorHAnsi"/>
        </w:rPr>
        <w:t xml:space="preserve">× </w:t>
      </w:r>
      <w:r>
        <w:t>10,000)</w:t>
      </w:r>
      <w:r>
        <w:tab/>
      </w:r>
      <w:r>
        <w:tab/>
      </w:r>
      <w:r>
        <w:tab/>
      </w:r>
      <w:r>
        <w:tab/>
        <w:t>$200,000</w:t>
      </w:r>
    </w:p>
    <w:p w:rsidR="004E7EDF" w:rsidRDefault="00CC6AE2" w:rsidP="004E7EDF">
      <w:pPr>
        <w:spacing w:after="0"/>
        <w:jc w:val="both"/>
      </w:pPr>
      <w:r>
        <w:rPr>
          <w:noProof/>
          <w:lang w:val="en-IN" w:eastAsia="en-IN"/>
        </w:rPr>
        <mc:AlternateContent>
          <mc:Choice Requires="wps">
            <w:drawing>
              <wp:anchor distT="0" distB="0" distL="114300" distR="114300" simplePos="0" relativeHeight="251665408" behindDoc="0" locked="0" layoutInCell="1" allowOverlap="1">
                <wp:simplePos x="0" y="0"/>
                <wp:positionH relativeFrom="column">
                  <wp:posOffset>4051300</wp:posOffset>
                </wp:positionH>
                <wp:positionV relativeFrom="paragraph">
                  <wp:posOffset>184785</wp:posOffset>
                </wp:positionV>
                <wp:extent cx="722630" cy="0"/>
                <wp:effectExtent l="12700" t="8890" r="7620" b="10160"/>
                <wp:wrapNone/>
                <wp:docPr id="8"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26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B1743E" id="_x0000_t32" coordsize="21600,21600" o:spt="32" o:oned="t" path="m,l21600,21600e" filled="f">
                <v:path arrowok="t" fillok="f" o:connecttype="none"/>
                <o:lock v:ext="edit" shapetype="t"/>
              </v:shapetype>
              <v:shape id="AutoShape 17" o:spid="_x0000_s1026" type="#_x0000_t32" style="position:absolute;margin-left:319pt;margin-top:14.55pt;width:56.9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"/>
            </w:pict>
          </mc:Fallback>
        </mc:AlternateContent>
      </w:r>
      <w:r w:rsidR="004E7EDF">
        <w:tab/>
      </w:r>
      <w:r w:rsidR="004E7EDF">
        <w:tab/>
      </w:r>
      <w:r w:rsidR="004E7EDF">
        <w:tab/>
        <w:t xml:space="preserve">Less: Variable expenses ($8 </w:t>
      </w:r>
      <w:r w:rsidR="004E7EDF">
        <w:rPr>
          <w:rFonts w:cstheme="minorHAnsi"/>
        </w:rPr>
        <w:t xml:space="preserve">× </w:t>
      </w:r>
      <w:r w:rsidR="004E7EDF">
        <w:t>10,000)</w:t>
      </w:r>
      <w:r w:rsidR="004E7EDF">
        <w:tab/>
      </w:r>
      <w:r w:rsidR="004E7EDF">
        <w:tab/>
        <w:t>80,000</w:t>
      </w:r>
    </w:p>
    <w:p w:rsidR="004E7EDF" w:rsidRDefault="004E7EDF" w:rsidP="004E7EDF">
      <w:pPr>
        <w:spacing w:after="0"/>
        <w:jc w:val="both"/>
      </w:pPr>
      <w:r>
        <w:tab/>
      </w:r>
      <w:r>
        <w:tab/>
      </w:r>
      <w:r>
        <w:tab/>
        <w:t>Contribution margin</w:t>
      </w:r>
      <w:r>
        <w:tab/>
      </w:r>
      <w:r>
        <w:tab/>
      </w:r>
      <w:r>
        <w:tab/>
      </w:r>
      <w:r>
        <w:tab/>
        <w:t>$120,000</w:t>
      </w:r>
    </w:p>
    <w:p w:rsidR="004E7EDF" w:rsidRDefault="00CC6AE2" w:rsidP="004E7EDF">
      <w:pPr>
        <w:spacing w:after="0"/>
        <w:jc w:val="both"/>
      </w:pPr>
      <w:r>
        <w:rPr>
          <w:noProof/>
          <w:lang w:val="en-IN" w:eastAsia="en-IN"/>
        </w:rPr>
        <mc:AlternateContent>
          <mc:Choice Requires="wps">
            <w:drawing>
              <wp:anchor distT="0" distB="0" distL="114300" distR="114300" simplePos="0" relativeHeight="251666432" behindDoc="0" locked="0" layoutInCell="1" allowOverlap="1">
                <wp:simplePos x="0" y="0"/>
                <wp:positionH relativeFrom="column">
                  <wp:posOffset>4051300</wp:posOffset>
                </wp:positionH>
                <wp:positionV relativeFrom="paragraph">
                  <wp:posOffset>186690</wp:posOffset>
                </wp:positionV>
                <wp:extent cx="722630" cy="0"/>
                <wp:effectExtent l="12700" t="12700" r="7620" b="6350"/>
                <wp:wrapNone/>
                <wp:docPr id="7"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26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E1245A" id="AutoShape 18" o:spid="_x0000_s1026" type="#_x0000_t32" style="position:absolute;margin-left:319pt;margin-top:14.7pt;width:56.9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"/>
            </w:pict>
          </mc:Fallback>
        </mc:AlternateContent>
      </w:r>
      <w:r w:rsidR="004E7EDF">
        <w:tab/>
      </w:r>
      <w:r w:rsidR="004E7EDF">
        <w:tab/>
      </w:r>
      <w:r w:rsidR="004E7EDF">
        <w:tab/>
        <w:t>Less: Fixed expenses</w:t>
      </w:r>
      <w:r w:rsidR="004E7EDF">
        <w:tab/>
      </w:r>
      <w:r w:rsidR="004E7EDF">
        <w:tab/>
      </w:r>
      <w:r w:rsidR="004E7EDF">
        <w:tab/>
      </w:r>
      <w:r w:rsidR="004E7EDF">
        <w:tab/>
        <w:t>100,000</w:t>
      </w:r>
    </w:p>
    <w:p w:rsidR="004E7EDF" w:rsidRDefault="00CC6AE2" w:rsidP="004E7EDF">
      <w:pPr>
        <w:spacing w:after="0"/>
        <w:jc w:val="both"/>
      </w:pPr>
      <w:r>
        <w:rPr>
          <w:noProof/>
          <w:lang w:val="en-IN" w:eastAsia="en-IN"/>
        </w:rPr>
        <mc:AlternateContent>
          <mc:Choice Requires="wps">
            <w:drawing>
              <wp:anchor distT="0" distB="0" distL="114300" distR="114300" simplePos="0" relativeHeight="251667456" behindDoc="0" locked="0" layoutInCell="1" allowOverlap="1">
                <wp:simplePos x="0" y="0"/>
                <wp:positionH relativeFrom="column">
                  <wp:posOffset>4051300</wp:posOffset>
                </wp:positionH>
                <wp:positionV relativeFrom="paragraph">
                  <wp:posOffset>171450</wp:posOffset>
                </wp:positionV>
                <wp:extent cx="722630" cy="0"/>
                <wp:effectExtent l="12700" t="12700" r="7620" b="6350"/>
                <wp:wrapNone/>
                <wp:docPr id="6"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26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CFB351" id="AutoShape 19" o:spid="_x0000_s1026" type="#_x0000_t32" style="position:absolute;margin-left:319pt;margin-top:13.5pt;width:56.9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"/>
            </w:pict>
          </mc:Fallback>
        </mc:AlternateContent>
      </w:r>
      <w:r w:rsidR="004E7EDF">
        <w:tab/>
      </w:r>
      <w:r w:rsidR="004E7EDF">
        <w:tab/>
      </w:r>
      <w:r w:rsidR="004E7EDF">
        <w:tab/>
        <w:t>Operating income</w:t>
      </w:r>
      <w:r w:rsidR="004E7EDF">
        <w:tab/>
      </w:r>
      <w:r w:rsidR="004E7EDF">
        <w:tab/>
      </w:r>
      <w:r w:rsidR="004E7EDF">
        <w:tab/>
      </w:r>
      <w:r w:rsidR="004E7EDF">
        <w:tab/>
        <w:t>$20,000</w:t>
      </w:r>
    </w:p>
    <w:p w:rsidR="004E7EDF" w:rsidRDefault="004E7EDF" w:rsidP="004E7EDF">
      <w:pPr>
        <w:spacing w:after="0"/>
        <w:jc w:val="both"/>
      </w:pPr>
    </w:p>
    <w:p w:rsidR="004E7EDF" w:rsidRPr="001C0832" w:rsidRDefault="004E7EDF" w:rsidP="004E7EDF">
      <w:pPr>
        <w:spacing w:after="0"/>
        <w:jc w:val="both"/>
        <w:rPr>
          <w:b/>
          <w:color w:val="FF0000"/>
        </w:rPr>
      </w:pPr>
      <w:r w:rsidRPr="001C0832">
        <w:rPr>
          <w:b/>
          <w:color w:val="FF0000"/>
        </w:rPr>
        <w:t>Excited, the president approves the new design. A year later, the president discovers that the expected increase in income did not materialize. In fact, there was a loss. Why? The answer is provided by an ABC approach to CVP analysis.</w:t>
      </w:r>
    </w:p>
    <w:p w:rsidR="004E7EDF" w:rsidRDefault="004E7EDF" w:rsidP="004E7EDF">
      <w:pPr>
        <w:jc w:val="both"/>
      </w:pPr>
      <w:r>
        <w:t>The original ABC cost relationship for the example is as follows:</w:t>
      </w:r>
    </w:p>
    <w:p w:rsidR="004E7EDF" w:rsidRDefault="004E7EDF" w:rsidP="004E7EDF">
      <w:pPr>
        <w:jc w:val="both"/>
      </w:pPr>
      <w:r>
        <w:t>Total Cost= $50,000 + ($1,000 x setups) + ($30 x Engineering hours)</w:t>
      </w:r>
    </w:p>
    <w:p w:rsidR="004E7EDF" w:rsidRDefault="004E7EDF" w:rsidP="004E7EDF">
      <w:pPr>
        <w:jc w:val="both"/>
      </w:pPr>
      <w:r>
        <w:t>Suppose that the new design requires a more complex setup, increasing the cost per setup from $1,000 to $1,600. Also, suppose that the new design, because of increased technical content, requires a 40% increase in engineering support (from 1,000 hours to 1,400 hours). The new cost equation, including the reduction in unit-level variables costs, is as follows:</w:t>
      </w:r>
    </w:p>
    <w:p w:rsidR="004E7EDF" w:rsidRDefault="004E7EDF" w:rsidP="004E7EDF">
      <w:pPr>
        <w:jc w:val="both"/>
      </w:pPr>
      <w:r>
        <w:t>Total Cost= $50,000 + ($8 x Units) + ($1,600 x Setups) + ($30 x Engineering hours)</w:t>
      </w:r>
    </w:p>
    <w:p w:rsidR="004E7EDF" w:rsidRDefault="004E7EDF" w:rsidP="004E7EDF">
      <w:pPr>
        <w:jc w:val="both"/>
      </w:pPr>
      <w:r>
        <w:t>The break-even point, setting operating income equal to zero and using the ABC equation, is calculated as follows (assume that 20 setups are still performed):</w:t>
      </w:r>
    </w:p>
    <w:p w:rsidR="004E7EDF" w:rsidRDefault="004E7EDF" w:rsidP="004E7EDF">
      <w:pPr>
        <w:spacing w:after="0"/>
        <w:jc w:val="both"/>
      </w:pPr>
      <w:r>
        <w:t>Units = [$50,000 + ($1,600 x 20) + ($30 x 1,400)]/ ($20-$8)</w:t>
      </w:r>
    </w:p>
    <w:p w:rsidR="004E7EDF" w:rsidRDefault="004E7EDF" w:rsidP="004E7EDF">
      <w:pPr>
        <w:spacing w:after="0"/>
        <w:jc w:val="both"/>
      </w:pPr>
      <w:r>
        <w:t>=$124,000/$12</w:t>
      </w:r>
    </w:p>
    <w:p w:rsidR="004E7EDF" w:rsidRDefault="004E7EDF" w:rsidP="004E7EDF">
      <w:pPr>
        <w:spacing w:after="0"/>
        <w:jc w:val="both"/>
      </w:pPr>
      <w:r>
        <w:t>=10,333</w:t>
      </w:r>
    </w:p>
    <w:p w:rsidR="004E7EDF" w:rsidRDefault="004E7EDF" w:rsidP="004E7EDF">
      <w:pPr>
        <w:spacing w:after="0"/>
        <w:jc w:val="both"/>
      </w:pPr>
    </w:p>
    <w:p w:rsidR="004E7EDF" w:rsidRDefault="004E7EDF" w:rsidP="004E7EDF">
      <w:pPr>
        <w:spacing w:after="0"/>
        <w:jc w:val="both"/>
      </w:pPr>
    </w:p>
    <w:p w:rsidR="004E7EDF" w:rsidRDefault="004E7EDF" w:rsidP="004E7EDF">
      <w:pPr>
        <w:spacing w:after="0"/>
        <w:jc w:val="both"/>
      </w:pPr>
      <w:r>
        <w:t>And the income for 10,000 units is (recall that a maximum of 10,000 can be sold) as follows:</w:t>
      </w:r>
    </w:p>
    <w:p w:rsidR="004E7EDF" w:rsidRDefault="004E7EDF" w:rsidP="004E7EDF">
      <w:pPr>
        <w:spacing w:after="0" w:line="240" w:lineRule="auto"/>
        <w:jc w:val="both"/>
      </w:pPr>
      <w:r>
        <w:t xml:space="preserve">Sales ($20 x 10,000) </w:t>
      </w:r>
      <w:r>
        <w:tab/>
      </w:r>
      <w:r>
        <w:tab/>
      </w:r>
      <w:r>
        <w:tab/>
      </w:r>
      <w:r>
        <w:tab/>
      </w:r>
      <w:r>
        <w:tab/>
      </w:r>
      <w:r>
        <w:tab/>
      </w:r>
      <w:r>
        <w:tab/>
        <w:t>$20</w:t>
      </w:r>
      <w:r w:rsidR="008C6609">
        <w:t>0</w:t>
      </w:r>
      <w:r>
        <w:t>,000</w:t>
      </w:r>
    </w:p>
    <w:p w:rsidR="004E7EDF" w:rsidRDefault="004E7EDF" w:rsidP="004E7EDF">
      <w:pPr>
        <w:spacing w:after="0" w:line="240" w:lineRule="auto"/>
        <w:jc w:val="both"/>
      </w:pPr>
      <w:r>
        <w:t>Less: Unit based variable expenses ($8 x 10,000)</w:t>
      </w:r>
      <w:r>
        <w:tab/>
      </w:r>
      <w:r>
        <w:tab/>
      </w:r>
      <w:r>
        <w:tab/>
      </w:r>
      <w:r>
        <w:tab/>
        <w:t xml:space="preserve">   80,000</w:t>
      </w:r>
    </w:p>
    <w:p w:rsidR="004E7EDF" w:rsidRDefault="00CC6AE2" w:rsidP="004E7EDF">
      <w:pPr>
        <w:spacing w:after="0" w:line="240" w:lineRule="auto"/>
        <w:jc w:val="both"/>
      </w:pPr>
      <w:r>
        <w:rPr>
          <w:noProof/>
          <w:lang w:val="en-IN" w:eastAsia="en-IN"/>
        </w:rPr>
        <mc:AlternateContent>
          <mc:Choice Requires="wps">
            <w:drawing>
              <wp:anchor distT="0" distB="0" distL="114300" distR="114300" simplePos="0" relativeHeight="251660288" behindDoc="0" locked="0" layoutInCell="1" allowOverlap="1">
                <wp:simplePos x="0" y="0"/>
                <wp:positionH relativeFrom="column">
                  <wp:posOffset>3891280</wp:posOffset>
                </wp:positionH>
                <wp:positionV relativeFrom="paragraph">
                  <wp:posOffset>36195</wp:posOffset>
                </wp:positionV>
                <wp:extent cx="893445" cy="0"/>
                <wp:effectExtent l="5080" t="13335" r="6350" b="5715"/>
                <wp:wrapNone/>
                <wp:docPr id="5"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34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C3C6CC" id="AutoShape 12" o:spid="_x0000_s1026" type="#_x0000_t32" style="position:absolute;margin-left:306.4pt;margin-top:2.85pt;width:70.3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ZgKHQIAADs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"/>
            </w:pict>
          </mc:Fallback>
        </mc:AlternateContent>
      </w:r>
      <w:r w:rsidR="004E7EDF">
        <w:t>Contribution Margin</w:t>
      </w:r>
      <w:r w:rsidR="004E7EDF">
        <w:tab/>
      </w:r>
      <w:r w:rsidR="004E7EDF">
        <w:tab/>
      </w:r>
      <w:r w:rsidR="004E7EDF">
        <w:tab/>
      </w:r>
      <w:r w:rsidR="004E7EDF">
        <w:tab/>
      </w:r>
      <w:r w:rsidR="004E7EDF">
        <w:tab/>
      </w:r>
      <w:r w:rsidR="004E7EDF">
        <w:tab/>
        <w:t xml:space="preserve">             $120,000</w:t>
      </w:r>
    </w:p>
    <w:p w:rsidR="004E7EDF" w:rsidRDefault="004E7EDF" w:rsidP="004E7EDF">
      <w:pPr>
        <w:spacing w:after="0" w:line="240" w:lineRule="auto"/>
        <w:jc w:val="both"/>
      </w:pPr>
    </w:p>
    <w:p w:rsidR="004E7EDF" w:rsidRDefault="004E7EDF" w:rsidP="004E7EDF">
      <w:pPr>
        <w:spacing w:after="0" w:line="240" w:lineRule="auto"/>
        <w:jc w:val="both"/>
      </w:pPr>
      <w:r>
        <w:t>Less non unit based variable expenses:</w:t>
      </w:r>
    </w:p>
    <w:p w:rsidR="004E7EDF" w:rsidRDefault="004E7EDF" w:rsidP="004E7EDF">
      <w:pPr>
        <w:spacing w:after="0" w:line="240" w:lineRule="auto"/>
        <w:jc w:val="both"/>
      </w:pPr>
      <w:r>
        <w:t>Setups ($1,600 x 20)</w:t>
      </w:r>
      <w:r>
        <w:tab/>
      </w:r>
      <w:r>
        <w:tab/>
      </w:r>
      <w:r>
        <w:tab/>
      </w:r>
      <w:r>
        <w:tab/>
      </w:r>
      <w:r>
        <w:tab/>
        <w:t xml:space="preserve">   $32,000</w:t>
      </w:r>
    </w:p>
    <w:p w:rsidR="004E7EDF" w:rsidRDefault="004E7EDF" w:rsidP="004E7EDF">
      <w:pPr>
        <w:spacing w:after="0" w:line="240" w:lineRule="auto"/>
        <w:jc w:val="both"/>
      </w:pPr>
      <w:r>
        <w:t>Engineering support ($30 x 1,400)</w:t>
      </w:r>
      <w:r>
        <w:tab/>
      </w:r>
      <w:r>
        <w:tab/>
      </w:r>
      <w:r>
        <w:tab/>
        <w:t xml:space="preserve">     42,000</w:t>
      </w:r>
      <w:r>
        <w:tab/>
        <w:t>74,000</w:t>
      </w:r>
    </w:p>
    <w:p w:rsidR="004E7EDF" w:rsidRDefault="00CC6AE2" w:rsidP="004E7EDF">
      <w:pPr>
        <w:spacing w:after="0" w:line="240" w:lineRule="auto"/>
        <w:jc w:val="both"/>
      </w:pPr>
      <w:r>
        <w:rPr>
          <w:noProof/>
          <w:lang w:val="en-IN" w:eastAsia="en-IN"/>
        </w:rPr>
        <mc:AlternateContent>
          <mc:Choice Requires="wps">
            <w:drawing>
              <wp:anchor distT="0" distB="0" distL="114300" distR="114300" simplePos="0" relativeHeight="251662336" behindDoc="0" locked="0" layoutInCell="1" allowOverlap="1">
                <wp:simplePos x="0" y="0"/>
                <wp:positionH relativeFrom="column">
                  <wp:posOffset>4029710</wp:posOffset>
                </wp:positionH>
                <wp:positionV relativeFrom="paragraph">
                  <wp:posOffset>12700</wp:posOffset>
                </wp:positionV>
                <wp:extent cx="574040" cy="0"/>
                <wp:effectExtent l="10160" t="13335" r="6350" b="5715"/>
                <wp:wrapNone/>
                <wp:docPr id="4"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40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0A107B" id="AutoShape 14" o:spid="_x0000_s1026" type="#_x0000_t32" style="position:absolute;margin-left:317.3pt;margin-top:1pt;width:45.2pt;height:0;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"/>
            </w:pict>
          </mc:Fallback>
        </mc:AlternateContent>
      </w:r>
      <w:r>
        <w:rPr>
          <w:noProof/>
          <w:lang w:val="en-IN" w:eastAsia="en-IN"/>
        </w:rPr>
        <mc:AlternateContent>
          <mc:Choice Requires="wps">
            <w:drawing>
              <wp:anchor distT="0" distB="0" distL="114300" distR="114300" simplePos="0" relativeHeight="251661312" behindDoc="0" locked="0" layoutInCell="1" allowOverlap="1">
                <wp:simplePos x="0" y="0"/>
                <wp:positionH relativeFrom="column">
                  <wp:posOffset>3126105</wp:posOffset>
                </wp:positionH>
                <wp:positionV relativeFrom="paragraph">
                  <wp:posOffset>12700</wp:posOffset>
                </wp:positionV>
                <wp:extent cx="680085" cy="0"/>
                <wp:effectExtent l="11430" t="13335" r="13335" b="5715"/>
                <wp:wrapNone/>
                <wp:docPr id="3"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0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4B1B5B" id="AutoShape 13" o:spid="_x0000_s1026" type="#_x0000_t32" style="position:absolute;margin-left:246.15pt;margin-top:1pt;width:53.5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"/>
            </w:pict>
          </mc:Fallback>
        </mc:AlternateContent>
      </w:r>
      <w:r w:rsidR="004E7EDF">
        <w:t>Traceable Margin</w:t>
      </w:r>
      <w:r w:rsidR="004E7EDF">
        <w:tab/>
      </w:r>
      <w:r w:rsidR="004E7EDF">
        <w:tab/>
      </w:r>
      <w:r w:rsidR="004E7EDF">
        <w:tab/>
      </w:r>
      <w:r w:rsidR="004E7EDF">
        <w:tab/>
      </w:r>
      <w:r w:rsidR="004E7EDF">
        <w:tab/>
      </w:r>
      <w:r w:rsidR="004E7EDF">
        <w:tab/>
        <w:t xml:space="preserve">            $46,000</w:t>
      </w:r>
    </w:p>
    <w:p w:rsidR="004E7EDF" w:rsidRDefault="004E7EDF" w:rsidP="004E7EDF">
      <w:pPr>
        <w:spacing w:after="0" w:line="240" w:lineRule="auto"/>
        <w:jc w:val="both"/>
      </w:pPr>
      <w:r>
        <w:t>Less: Fixed expenses</w:t>
      </w:r>
      <w:r>
        <w:tab/>
      </w:r>
      <w:r>
        <w:tab/>
      </w:r>
      <w:r>
        <w:tab/>
      </w:r>
      <w:r>
        <w:tab/>
      </w:r>
      <w:r>
        <w:tab/>
      </w:r>
      <w:r>
        <w:tab/>
        <w:t xml:space="preserve">               50,000</w:t>
      </w:r>
    </w:p>
    <w:p w:rsidR="004E7EDF" w:rsidRDefault="00CC6AE2" w:rsidP="004E7EDF">
      <w:pPr>
        <w:spacing w:after="0" w:line="240" w:lineRule="auto"/>
        <w:jc w:val="both"/>
      </w:pPr>
      <w:r>
        <w:rPr>
          <w:noProof/>
          <w:lang w:val="en-IN" w:eastAsia="en-IN"/>
        </w:rPr>
        <mc:AlternateContent>
          <mc:Choice Requires="wps">
            <w:drawing>
              <wp:anchor distT="0" distB="0" distL="114300" distR="114300" simplePos="0" relativeHeight="251664384" behindDoc="0" locked="0" layoutInCell="1" allowOverlap="1">
                <wp:simplePos x="0" y="0"/>
                <wp:positionH relativeFrom="column">
                  <wp:posOffset>3955415</wp:posOffset>
                </wp:positionH>
                <wp:positionV relativeFrom="paragraph">
                  <wp:posOffset>245745</wp:posOffset>
                </wp:positionV>
                <wp:extent cx="722630" cy="635"/>
                <wp:effectExtent l="12065" t="6985" r="8255" b="11430"/>
                <wp:wrapNone/>
                <wp:docPr id="2"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263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33422D" id="AutoShape 16" o:spid="_x0000_s1026" type="#_x0000_t32" style="position:absolute;margin-left:311.45pt;margin-top:19.35pt;width:56.9pt;height:.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"/>
            </w:pict>
          </mc:Fallback>
        </mc:AlternateContent>
      </w:r>
      <w:r>
        <w:rPr>
          <w:noProof/>
          <w:lang w:val="en-IN" w:eastAsia="en-IN"/>
        </w:rPr>
        <mc:AlternateContent>
          <mc:Choice Requires="wps">
            <w:drawing>
              <wp:anchor distT="0" distB="0" distL="114300" distR="114300" simplePos="0" relativeHeight="251663360" behindDoc="0" locked="0" layoutInCell="1" allowOverlap="1">
                <wp:simplePos x="0" y="0"/>
                <wp:positionH relativeFrom="column">
                  <wp:posOffset>4029710</wp:posOffset>
                </wp:positionH>
                <wp:positionV relativeFrom="paragraph">
                  <wp:posOffset>12065</wp:posOffset>
                </wp:positionV>
                <wp:extent cx="574040" cy="0"/>
                <wp:effectExtent l="10160" t="11430" r="6350" b="7620"/>
                <wp:wrapNone/>
                <wp:docPr id="1"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0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292F4E" id="AutoShape 15" o:spid="_x0000_s1026" type="#_x0000_t32" style="position:absolute;margin-left:317.3pt;margin-top:.95pt;width:45.2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P3K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"/>
            </w:pict>
          </mc:Fallback>
        </mc:AlternateContent>
      </w:r>
      <w:r w:rsidR="004E7EDF">
        <w:t>Operating income (loss)</w:t>
      </w:r>
      <w:r w:rsidR="004E7EDF">
        <w:tab/>
      </w:r>
      <w:r w:rsidR="004E7EDF">
        <w:tab/>
      </w:r>
      <w:r w:rsidR="004E7EDF">
        <w:tab/>
      </w:r>
      <w:r w:rsidR="004E7EDF">
        <w:tab/>
      </w:r>
      <w:r w:rsidR="004E7EDF">
        <w:tab/>
      </w:r>
      <w:r w:rsidR="004E7EDF">
        <w:tab/>
        <w:t xml:space="preserve">             $ (4,000)</w:t>
      </w:r>
    </w:p>
    <w:p w:rsidR="004E7EDF" w:rsidRDefault="004E7EDF" w:rsidP="004E7EDF">
      <w:pPr>
        <w:spacing w:after="0" w:line="240" w:lineRule="auto"/>
        <w:jc w:val="both"/>
      </w:pPr>
    </w:p>
    <w:p w:rsidR="004E7EDF" w:rsidRDefault="004E7EDF" w:rsidP="004E7EDF">
      <w:pPr>
        <w:spacing w:after="0" w:line="240" w:lineRule="auto"/>
        <w:jc w:val="both"/>
      </w:pPr>
    </w:p>
    <w:p w:rsidR="004E7EDF" w:rsidRDefault="004E7EDF" w:rsidP="004E7EDF">
      <w:pPr>
        <w:spacing w:after="0"/>
        <w:jc w:val="both"/>
      </w:pPr>
      <w:r>
        <w:t>How could the engineers have been off by so much? Didn’t they know that the new design would increase setup cost and engineering support? Yes and no. They were probably aware of the increases in these two variables, but the conventional cost equation diverted attention from figuring just how much impact changes in those variables would have on units needed to break even. The information conveyed to the engineers by the conventional equation gave the impression that any reduction in labor cost- not affecting direct materials or variable overhead-would reduce total costs, since changes in the level of labor activity would not affect the fixed costs. ? The ABC equation, however, indicates that a reduction in labor input that adversely affects setup activity or engineering support might be undesirable. By providing more insight, better design decisions can be made. Providing ABC cost information to the design engineers would probably have led them down a different -and better path- for the company.</w:t>
      </w:r>
    </w:p>
    <w:p w:rsidR="004E7EDF" w:rsidRDefault="004E7EDF" w:rsidP="004E7EDF">
      <w:pPr>
        <w:spacing w:after="0"/>
        <w:jc w:val="both"/>
      </w:pPr>
    </w:p>
    <w:p w:rsidR="004E7EDF" w:rsidRDefault="004E7EDF" w:rsidP="004E7EDF">
      <w:pPr>
        <w:spacing w:after="0"/>
        <w:jc w:val="both"/>
      </w:pPr>
    </w:p>
    <w:p w:rsidR="004E7EDF" w:rsidRDefault="004E7EDF" w:rsidP="001E163D">
      <w:pPr>
        <w:spacing w:after="0"/>
        <w:jc w:val="both"/>
      </w:pPr>
    </w:p>
    <w:p w:rsidR="004E7EDF" w:rsidRDefault="004E7EDF" w:rsidP="001E163D">
      <w:pPr>
        <w:spacing w:after="0"/>
        <w:jc w:val="both"/>
      </w:pPr>
    </w:p>
    <w:sectPr w:rsidR="004E7EDF" w:rsidSect="004E7ED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0EAE" w:rsidRDefault="00840EAE" w:rsidP="008C6609">
      <w:pPr>
        <w:spacing w:after="0" w:line="240" w:lineRule="auto"/>
      </w:pPr>
      <w:r>
        <w:separator/>
      </w:r>
    </w:p>
  </w:endnote>
  <w:endnote w:type="continuationSeparator" w:id="0">
    <w:p w:rsidR="00840EAE" w:rsidRDefault="00840EAE" w:rsidP="008C6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6609" w:rsidRDefault="008C660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30510265"/>
      <w:docPartObj>
        <w:docPartGallery w:val="Page Numbers (Bottom of Page)"/>
        <w:docPartUnique/>
      </w:docPartObj>
    </w:sdtPr>
    <w:sdtEndPr>
      <w:rPr>
        <w:noProof/>
      </w:rPr>
    </w:sdtEndPr>
    <w:sdtContent>
      <w:bookmarkStart w:id="0" w:name="_GoBack" w:displacedByCustomXml="prev"/>
      <w:bookmarkEnd w:id="0" w:displacedByCustomXml="prev"/>
      <w:p w:rsidR="008C6609" w:rsidRDefault="008C6609">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8C6609" w:rsidRDefault="008C660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6609" w:rsidRDefault="008C660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0EAE" w:rsidRDefault="00840EAE" w:rsidP="008C6609">
      <w:pPr>
        <w:spacing w:after="0" w:line="240" w:lineRule="auto"/>
      </w:pPr>
      <w:r>
        <w:separator/>
      </w:r>
    </w:p>
  </w:footnote>
  <w:footnote w:type="continuationSeparator" w:id="0">
    <w:p w:rsidR="00840EAE" w:rsidRDefault="00840EAE" w:rsidP="008C660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6609" w:rsidRDefault="008C660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6609" w:rsidRDefault="008C660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6609" w:rsidRDefault="008C660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6AF"/>
    <w:rsid w:val="001C0832"/>
    <w:rsid w:val="001E163D"/>
    <w:rsid w:val="00383696"/>
    <w:rsid w:val="004B2BF1"/>
    <w:rsid w:val="004E7EDF"/>
    <w:rsid w:val="006D01DE"/>
    <w:rsid w:val="007226AF"/>
    <w:rsid w:val="00724D48"/>
    <w:rsid w:val="00840EAE"/>
    <w:rsid w:val="008C6609"/>
    <w:rsid w:val="00972230"/>
    <w:rsid w:val="00995B68"/>
    <w:rsid w:val="00A471BE"/>
    <w:rsid w:val="00BC126D"/>
    <w:rsid w:val="00CC6AE2"/>
    <w:rsid w:val="00EE0C14"/>
    <w:rsid w:val="00FE2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2B559A9-064F-4A5B-91A3-21F123D03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E7EDF"/>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E0C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0C14"/>
    <w:rPr>
      <w:rFonts w:ascii="Segoe UI" w:hAnsi="Segoe UI" w:cs="Segoe UI"/>
      <w:sz w:val="18"/>
      <w:szCs w:val="18"/>
    </w:rPr>
  </w:style>
  <w:style w:type="paragraph" w:styleId="Header">
    <w:name w:val="header"/>
    <w:basedOn w:val="Normal"/>
    <w:link w:val="HeaderChar"/>
    <w:uiPriority w:val="99"/>
    <w:unhideWhenUsed/>
    <w:rsid w:val="008C66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6609"/>
  </w:style>
  <w:style w:type="paragraph" w:styleId="Footer">
    <w:name w:val="footer"/>
    <w:basedOn w:val="Normal"/>
    <w:link w:val="FooterChar"/>
    <w:uiPriority w:val="99"/>
    <w:unhideWhenUsed/>
    <w:rsid w:val="008C66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66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4</Pages>
  <Words>1287</Words>
  <Characters>7342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IIM LKO</dc:creator>
  <cp:lastModifiedBy>iim</cp:lastModifiedBy>
  <cp:revision>4</cp:revision>
  <cp:lastPrinted>2016-10-31T10:00:00Z</cp:lastPrinted>
  <dcterms:created xsi:type="dcterms:W3CDTF">2015-10-29T07:16:00Z</dcterms:created>
  <dcterms:modified xsi:type="dcterms:W3CDTF">2016-10-31T10:33:00Z</dcterms:modified>
</cp:coreProperties>
</file>