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6D88" w:rsidRPr="00FE28A8" w:rsidRDefault="006A5D05" w:rsidP="00FE28A8">
      <w:pPr>
        <w:jc w:val="both"/>
        <w:rPr>
          <w:b/>
          <w:sz w:val="32"/>
          <w:szCs w:val="32"/>
        </w:rPr>
      </w:pPr>
      <w:r w:rsidRPr="00FE28A8">
        <w:rPr>
          <w:b/>
          <w:sz w:val="32"/>
          <w:szCs w:val="32"/>
        </w:rPr>
        <w:t>SUNK COSTS</w:t>
      </w:r>
    </w:p>
    <w:p w:rsidR="006A5D05" w:rsidRDefault="006A5D05" w:rsidP="00FE28A8">
      <w:pPr>
        <w:jc w:val="both"/>
      </w:pPr>
      <w:r>
        <w:t>Sunk costs cannot be changed no matter what future course of action is taken because historical transactions cannot be reserved. For example, managers could find that a previously acquired asset is no longer adequate for its intended purpose, does not perform to expectations, is technologically obsolete, or is no longer marketable. Managers must then decide whether to keep the asset. This decision uses the current or future selling price that</w:t>
      </w:r>
      <w:r w:rsidR="00FE28A8">
        <w:t xml:space="preserve"> can be obtained for the asset </w:t>
      </w:r>
      <w:r>
        <w:t>but that price is the result of current or future conditions and does not “recoup” the historical or sunk cost. The historical cost is irrelevant to the decision.</w:t>
      </w:r>
      <w:r w:rsidR="00546719">
        <w:t xml:space="preserve"> </w:t>
      </w:r>
      <w:r>
        <w:t>The following illustration includes simplistic assumptions regarding asset acquisitions but demonstrate why sunk costs are not relevant costs.</w:t>
      </w:r>
    </w:p>
    <w:p w:rsidR="007C6AD9" w:rsidRDefault="006A5D05" w:rsidP="00FE28A8">
      <w:pPr>
        <w:jc w:val="both"/>
      </w:pPr>
      <w:r>
        <w:t>Assume that Landry Mechanical purchases a robotic warehouse management system for $12,000,000 on December 9. This “original” system is expected to have a useful life of five years and no salvage value. Five days later, on December 14, Jill Landry, vice president of production</w:t>
      </w:r>
      <w:r w:rsidR="007C6AD9">
        <w:t>, notices on advertisement for a similar system for $10,800,000. This “new” system also has an estimated life of five years and no salvage value, but it has features that enable it to perform better than the original system as well as save $355,000 per year in labor costs. On investigation, Landry discovers that the original system can be sold currently for $8,900,000. Exhibit 1 provides data on the original and new robotic warehouse management systems.</w:t>
      </w:r>
    </w:p>
    <w:tbl>
      <w:tblPr>
        <w:tblW w:w="9523" w:type="dxa"/>
        <w:tblInd w:w="93" w:type="dxa"/>
        <w:tblLook w:val="04A0" w:firstRow="1" w:lastRow="0" w:firstColumn="1" w:lastColumn="0" w:noHBand="0" w:noVBand="1"/>
      </w:tblPr>
      <w:tblGrid>
        <w:gridCol w:w="2999"/>
        <w:gridCol w:w="3267"/>
        <w:gridCol w:w="3257"/>
      </w:tblGrid>
      <w:tr w:rsidR="007C6AD9" w:rsidRPr="007C6AD9" w:rsidTr="007C6AD9">
        <w:trPr>
          <w:trHeight w:val="647"/>
        </w:trPr>
        <w:tc>
          <w:tcPr>
            <w:tcW w:w="9523"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rsidR="007C6AD9" w:rsidRPr="007C6AD9" w:rsidRDefault="007C6AD9" w:rsidP="00D62CDA">
            <w:pPr>
              <w:spacing w:after="0" w:line="240" w:lineRule="auto"/>
              <w:jc w:val="both"/>
              <w:rPr>
                <w:rFonts w:ascii="Calibri" w:eastAsia="Times New Roman" w:hAnsi="Calibri" w:cs="Calibri"/>
                <w:b/>
                <w:bCs/>
                <w:color w:val="000000"/>
              </w:rPr>
            </w:pPr>
            <w:r w:rsidRPr="007C6AD9">
              <w:rPr>
                <w:rFonts w:ascii="Calibri" w:eastAsia="Times New Roman" w:hAnsi="Calibri" w:cs="Calibri"/>
                <w:b/>
                <w:bCs/>
                <w:color w:val="000000"/>
              </w:rPr>
              <w:t>Exhibit 1</w:t>
            </w:r>
            <w:r w:rsidR="00D62CDA">
              <w:rPr>
                <w:rFonts w:ascii="Calibri" w:eastAsia="Times New Roman" w:hAnsi="Calibri" w:cs="Calibri"/>
                <w:b/>
                <w:bCs/>
                <w:color w:val="000000"/>
              </w:rPr>
              <w:t>7</w:t>
            </w:r>
            <w:r w:rsidRPr="007C6AD9">
              <w:rPr>
                <w:rFonts w:ascii="Calibri" w:eastAsia="Times New Roman" w:hAnsi="Calibri" w:cs="Calibri"/>
                <w:b/>
                <w:bCs/>
                <w:color w:val="000000"/>
              </w:rPr>
              <w:t>.1 Landry Mechanical : Robotic Warehouse Management System Replacement Decision Data</w:t>
            </w:r>
          </w:p>
        </w:tc>
      </w:tr>
      <w:tr w:rsidR="007C6AD9" w:rsidRPr="007C6AD9" w:rsidTr="007C6AD9">
        <w:trPr>
          <w:trHeight w:val="308"/>
        </w:trPr>
        <w:tc>
          <w:tcPr>
            <w:tcW w:w="2999" w:type="dxa"/>
            <w:tcBorders>
              <w:top w:val="nil"/>
              <w:left w:val="single" w:sz="4" w:space="0" w:color="auto"/>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 </w:t>
            </w:r>
          </w:p>
        </w:tc>
        <w:tc>
          <w:tcPr>
            <w:tcW w:w="326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b/>
                <w:bCs/>
                <w:color w:val="000000"/>
              </w:rPr>
            </w:pPr>
            <w:r w:rsidRPr="007C6AD9">
              <w:rPr>
                <w:rFonts w:ascii="Calibri" w:eastAsia="Times New Roman" w:hAnsi="Calibri" w:cs="Calibri"/>
                <w:b/>
                <w:bCs/>
                <w:color w:val="000000"/>
              </w:rPr>
              <w:t>Original System</w:t>
            </w:r>
          </w:p>
        </w:tc>
        <w:tc>
          <w:tcPr>
            <w:tcW w:w="325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b/>
                <w:bCs/>
                <w:color w:val="000000"/>
              </w:rPr>
            </w:pPr>
            <w:r w:rsidRPr="007C6AD9">
              <w:rPr>
                <w:rFonts w:ascii="Calibri" w:eastAsia="Times New Roman" w:hAnsi="Calibri" w:cs="Calibri"/>
                <w:b/>
                <w:bCs/>
                <w:color w:val="000000"/>
              </w:rPr>
              <w:t xml:space="preserve">New System </w:t>
            </w:r>
          </w:p>
        </w:tc>
      </w:tr>
      <w:tr w:rsidR="007C6AD9" w:rsidRPr="007C6AD9" w:rsidTr="007C6AD9">
        <w:trPr>
          <w:trHeight w:val="308"/>
        </w:trPr>
        <w:tc>
          <w:tcPr>
            <w:tcW w:w="2999" w:type="dxa"/>
            <w:tcBorders>
              <w:top w:val="nil"/>
              <w:left w:val="single" w:sz="4" w:space="0" w:color="auto"/>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 </w:t>
            </w:r>
          </w:p>
        </w:tc>
        <w:tc>
          <w:tcPr>
            <w:tcW w:w="326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(Purchased December 9)</w:t>
            </w:r>
          </w:p>
        </w:tc>
        <w:tc>
          <w:tcPr>
            <w:tcW w:w="325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(Available December 14)</w:t>
            </w:r>
          </w:p>
        </w:tc>
      </w:tr>
      <w:tr w:rsidR="007C6AD9" w:rsidRPr="007C6AD9" w:rsidTr="007C6AD9">
        <w:trPr>
          <w:trHeight w:val="308"/>
        </w:trPr>
        <w:tc>
          <w:tcPr>
            <w:tcW w:w="2999" w:type="dxa"/>
            <w:tcBorders>
              <w:top w:val="nil"/>
              <w:left w:val="single" w:sz="4" w:space="0" w:color="auto"/>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Cost</w:t>
            </w:r>
          </w:p>
        </w:tc>
        <w:tc>
          <w:tcPr>
            <w:tcW w:w="326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$12,000,000</w:t>
            </w:r>
          </w:p>
        </w:tc>
        <w:tc>
          <w:tcPr>
            <w:tcW w:w="325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$10,800,000</w:t>
            </w:r>
          </w:p>
        </w:tc>
      </w:tr>
      <w:tr w:rsidR="007C6AD9" w:rsidRPr="007C6AD9" w:rsidTr="007C6AD9">
        <w:trPr>
          <w:trHeight w:val="308"/>
        </w:trPr>
        <w:tc>
          <w:tcPr>
            <w:tcW w:w="2999" w:type="dxa"/>
            <w:tcBorders>
              <w:top w:val="nil"/>
              <w:left w:val="single" w:sz="4" w:space="0" w:color="auto"/>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Life in years</w:t>
            </w:r>
          </w:p>
        </w:tc>
        <w:tc>
          <w:tcPr>
            <w:tcW w:w="326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5</w:t>
            </w:r>
          </w:p>
        </w:tc>
        <w:tc>
          <w:tcPr>
            <w:tcW w:w="325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5</w:t>
            </w:r>
          </w:p>
        </w:tc>
      </w:tr>
      <w:tr w:rsidR="007C6AD9" w:rsidRPr="007C6AD9" w:rsidTr="007C6AD9">
        <w:trPr>
          <w:trHeight w:val="308"/>
        </w:trPr>
        <w:tc>
          <w:tcPr>
            <w:tcW w:w="2999" w:type="dxa"/>
            <w:tcBorders>
              <w:top w:val="nil"/>
              <w:left w:val="single" w:sz="4" w:space="0" w:color="auto"/>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Salvage Value</w:t>
            </w:r>
          </w:p>
        </w:tc>
        <w:tc>
          <w:tcPr>
            <w:tcW w:w="326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$0</w:t>
            </w:r>
          </w:p>
        </w:tc>
        <w:tc>
          <w:tcPr>
            <w:tcW w:w="325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$0</w:t>
            </w:r>
          </w:p>
        </w:tc>
      </w:tr>
      <w:tr w:rsidR="007C6AD9" w:rsidRPr="007C6AD9" w:rsidTr="007C6AD9">
        <w:trPr>
          <w:trHeight w:val="308"/>
        </w:trPr>
        <w:tc>
          <w:tcPr>
            <w:tcW w:w="2999" w:type="dxa"/>
            <w:tcBorders>
              <w:top w:val="nil"/>
              <w:left w:val="single" w:sz="4" w:space="0" w:color="auto"/>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Current resale value</w:t>
            </w:r>
          </w:p>
        </w:tc>
        <w:tc>
          <w:tcPr>
            <w:tcW w:w="326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$8,900,000</w:t>
            </w:r>
          </w:p>
        </w:tc>
        <w:tc>
          <w:tcPr>
            <w:tcW w:w="325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Not Applicable</w:t>
            </w:r>
          </w:p>
        </w:tc>
      </w:tr>
      <w:tr w:rsidR="007C6AD9" w:rsidRPr="007C6AD9" w:rsidTr="007C6AD9">
        <w:trPr>
          <w:trHeight w:val="308"/>
        </w:trPr>
        <w:tc>
          <w:tcPr>
            <w:tcW w:w="2999" w:type="dxa"/>
            <w:tcBorders>
              <w:top w:val="nil"/>
              <w:left w:val="single" w:sz="4" w:space="0" w:color="auto"/>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Annual Operating Cost</w:t>
            </w:r>
          </w:p>
        </w:tc>
        <w:tc>
          <w:tcPr>
            <w:tcW w:w="326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$855,000</w:t>
            </w:r>
          </w:p>
        </w:tc>
        <w:tc>
          <w:tcPr>
            <w:tcW w:w="3257" w:type="dxa"/>
            <w:tcBorders>
              <w:top w:val="nil"/>
              <w:left w:val="nil"/>
              <w:bottom w:val="single" w:sz="4" w:space="0" w:color="auto"/>
              <w:right w:val="single" w:sz="4" w:space="0" w:color="auto"/>
            </w:tcBorders>
            <w:shd w:val="clear" w:color="auto" w:fill="auto"/>
            <w:noWrap/>
            <w:vAlign w:val="bottom"/>
            <w:hideMark/>
          </w:tcPr>
          <w:p w:rsidR="007C6AD9" w:rsidRPr="007C6AD9" w:rsidRDefault="007C6AD9" w:rsidP="00FE28A8">
            <w:pPr>
              <w:spacing w:after="0" w:line="240" w:lineRule="auto"/>
              <w:jc w:val="both"/>
              <w:rPr>
                <w:rFonts w:ascii="Calibri" w:eastAsia="Times New Roman" w:hAnsi="Calibri" w:cs="Calibri"/>
                <w:color w:val="000000"/>
              </w:rPr>
            </w:pPr>
            <w:r w:rsidRPr="007C6AD9">
              <w:rPr>
                <w:rFonts w:ascii="Calibri" w:eastAsia="Times New Roman" w:hAnsi="Calibri" w:cs="Calibri"/>
                <w:color w:val="000000"/>
              </w:rPr>
              <w:t>$500,000</w:t>
            </w:r>
          </w:p>
        </w:tc>
      </w:tr>
    </w:tbl>
    <w:p w:rsidR="006A5D05" w:rsidRDefault="007C6AD9" w:rsidP="00FE28A8">
      <w:pPr>
        <w:jc w:val="both"/>
      </w:pPr>
      <w:r>
        <w:t xml:space="preserve"> </w:t>
      </w:r>
    </w:p>
    <w:p w:rsidR="007C6AD9" w:rsidRDefault="007C6AD9" w:rsidP="00FE28A8">
      <w:pPr>
        <w:jc w:val="both"/>
      </w:pPr>
      <w:r>
        <w:t>Landry Mechanical has two options:</w:t>
      </w:r>
    </w:p>
    <w:p w:rsidR="007C6AD9" w:rsidRDefault="00EB56DA" w:rsidP="00FE28A8">
      <w:pPr>
        <w:pStyle w:val="ListParagraph"/>
        <w:numPr>
          <w:ilvl w:val="0"/>
          <w:numId w:val="1"/>
        </w:numPr>
        <w:jc w:val="both"/>
      </w:pPr>
      <w:r>
        <w:t xml:space="preserve">Use the original system or </w:t>
      </w:r>
    </w:p>
    <w:p w:rsidR="00EB56DA" w:rsidRDefault="00EB56DA" w:rsidP="00FE28A8">
      <w:pPr>
        <w:pStyle w:val="ListParagraph"/>
        <w:numPr>
          <w:ilvl w:val="0"/>
          <w:numId w:val="1"/>
        </w:numPr>
        <w:jc w:val="both"/>
      </w:pPr>
      <w:r>
        <w:t>Sell the original system and buy the new system</w:t>
      </w:r>
    </w:p>
    <w:p w:rsidR="00EB56DA" w:rsidRDefault="00EB56DA" w:rsidP="00546719">
      <w:pPr>
        <w:jc w:val="both"/>
      </w:pPr>
      <w:r>
        <w:t xml:space="preserve">Exhibit </w:t>
      </w:r>
      <w:r w:rsidR="00E16E0E">
        <w:t>17.</w:t>
      </w:r>
      <w:r>
        <w:t xml:space="preserve">2 indicates the relevant costs Landry should consider in making her </w:t>
      </w:r>
      <w:r w:rsidR="00FE28A8">
        <w:t>decision</w:t>
      </w:r>
      <w:r>
        <w:t>. As the computation show, the original system’s $12,000,000 purchase cost does not affect the decision outcome. This amount was sunk when the company bought the system. However, by selling the original system, the company would have net cash outlay for the new system of only $1,900,000, calculated as follows:</w:t>
      </w:r>
    </w:p>
    <w:p w:rsidR="00EB56DA" w:rsidRDefault="00EB56DA" w:rsidP="00FE28A8">
      <w:pPr>
        <w:spacing w:after="0"/>
        <w:ind w:firstLine="720"/>
        <w:jc w:val="both"/>
      </w:pPr>
      <w:r>
        <w:tab/>
        <w:t>Cash cost of new system</w:t>
      </w:r>
      <w:r>
        <w:tab/>
      </w:r>
      <w:r>
        <w:tab/>
      </w:r>
      <w:r>
        <w:tab/>
      </w:r>
      <w:r>
        <w:tab/>
        <w:t>$10,800,000</w:t>
      </w:r>
    </w:p>
    <w:p w:rsidR="00EB56DA" w:rsidRDefault="00EB56DA" w:rsidP="00FE28A8">
      <w:pPr>
        <w:spacing w:after="0"/>
        <w:ind w:firstLine="720"/>
        <w:jc w:val="both"/>
      </w:pPr>
      <w:r>
        <w:tab/>
        <w:t>Less cash from sale of old system</w:t>
      </w:r>
      <w:r>
        <w:tab/>
      </w:r>
      <w:r>
        <w:tab/>
      </w:r>
      <w:r>
        <w:tab/>
        <w:t>(8,900,000)</w:t>
      </w:r>
    </w:p>
    <w:p w:rsidR="00EB56DA" w:rsidRDefault="00EB56DA" w:rsidP="00FE28A8">
      <w:pPr>
        <w:spacing w:after="0"/>
        <w:ind w:firstLine="720"/>
        <w:jc w:val="both"/>
      </w:pPr>
      <w:r>
        <w:tab/>
        <w:t>Incremental cash outlay</w:t>
      </w:r>
      <w:r>
        <w:tab/>
      </w:r>
      <w:r>
        <w:tab/>
      </w:r>
      <w:r>
        <w:tab/>
      </w:r>
      <w:r>
        <w:tab/>
      </w:r>
      <w:r>
        <w:tab/>
        <w:t>$ 1,900,000</w:t>
      </w:r>
    </w:p>
    <w:tbl>
      <w:tblPr>
        <w:tblW w:w="9848" w:type="dxa"/>
        <w:tblInd w:w="93" w:type="dxa"/>
        <w:tblLook w:val="04A0" w:firstRow="1" w:lastRow="0" w:firstColumn="1" w:lastColumn="0" w:noHBand="0" w:noVBand="1"/>
      </w:tblPr>
      <w:tblGrid>
        <w:gridCol w:w="6876"/>
        <w:gridCol w:w="1486"/>
        <w:gridCol w:w="1486"/>
      </w:tblGrid>
      <w:tr w:rsidR="00EB56DA" w:rsidRPr="00EB56DA" w:rsidTr="00EB56DA">
        <w:trPr>
          <w:trHeight w:val="634"/>
        </w:trPr>
        <w:tc>
          <w:tcPr>
            <w:tcW w:w="9848"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D62CDA">
            <w:pPr>
              <w:spacing w:after="0" w:line="240" w:lineRule="auto"/>
              <w:jc w:val="both"/>
              <w:rPr>
                <w:rFonts w:ascii="Calibri" w:eastAsia="Times New Roman" w:hAnsi="Calibri" w:cs="Calibri"/>
                <w:b/>
                <w:bCs/>
                <w:color w:val="000000"/>
              </w:rPr>
            </w:pPr>
            <w:r w:rsidRPr="00EB56DA">
              <w:rPr>
                <w:rFonts w:ascii="Calibri" w:eastAsia="Times New Roman" w:hAnsi="Calibri" w:cs="Calibri"/>
                <w:b/>
                <w:bCs/>
                <w:color w:val="000000"/>
              </w:rPr>
              <w:lastRenderedPageBreak/>
              <w:t xml:space="preserve">Exhibit </w:t>
            </w:r>
            <w:r w:rsidR="00D62CDA">
              <w:rPr>
                <w:rFonts w:ascii="Calibri" w:eastAsia="Times New Roman" w:hAnsi="Calibri" w:cs="Calibri"/>
                <w:b/>
                <w:bCs/>
                <w:color w:val="000000"/>
              </w:rPr>
              <w:t>17</w:t>
            </w:r>
            <w:r w:rsidRPr="00EB56DA">
              <w:rPr>
                <w:rFonts w:ascii="Calibri" w:eastAsia="Times New Roman" w:hAnsi="Calibri" w:cs="Calibri"/>
                <w:b/>
                <w:bCs/>
                <w:color w:val="000000"/>
              </w:rPr>
              <w:t>.2 Relevant Costs related to Landry Mechanical’s Alternatives</w:t>
            </w:r>
          </w:p>
        </w:tc>
      </w:tr>
      <w:tr w:rsidR="00EB56DA" w:rsidRPr="00EB56DA" w:rsidTr="00EB56DA">
        <w:trPr>
          <w:trHeight w:val="302"/>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Alternative (1) : Use of Original Systems</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r>
      <w:tr w:rsidR="00EB56DA" w:rsidRPr="00EB56DA" w:rsidTr="00EB56DA">
        <w:trPr>
          <w:trHeight w:val="302"/>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    Operating cost over life of original system</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r>
      <w:tr w:rsidR="00EB56DA" w:rsidRPr="00EB56DA" w:rsidTr="00EB56DA">
        <w:trPr>
          <w:trHeight w:val="302"/>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      ($855,000 x 5 years)</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$4,275,000 </w:t>
            </w:r>
          </w:p>
        </w:tc>
      </w:tr>
      <w:tr w:rsidR="00EB56DA" w:rsidRPr="00EB56DA" w:rsidTr="00EB56DA">
        <w:trPr>
          <w:trHeight w:val="302"/>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FE28A8" w:rsidP="00FE28A8">
            <w:pPr>
              <w:spacing w:after="0" w:line="240" w:lineRule="auto"/>
              <w:jc w:val="both"/>
              <w:rPr>
                <w:rFonts w:ascii="Calibri" w:eastAsia="Times New Roman" w:hAnsi="Calibri" w:cs="Calibri"/>
                <w:color w:val="000000"/>
              </w:rPr>
            </w:pPr>
            <w:r>
              <w:rPr>
                <w:rFonts w:ascii="Calibri" w:eastAsia="Times New Roman" w:hAnsi="Calibri" w:cs="Calibri"/>
                <w:color w:val="000000"/>
              </w:rPr>
              <w:t>Alternative (2</w:t>
            </w:r>
            <w:r w:rsidR="00EB56DA" w:rsidRPr="00EB56DA">
              <w:rPr>
                <w:rFonts w:ascii="Calibri" w:eastAsia="Times New Roman" w:hAnsi="Calibri" w:cs="Calibri"/>
                <w:color w:val="000000"/>
              </w:rPr>
              <w:t>) : Sell Original system and buy new</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r>
      <w:tr w:rsidR="00EB56DA" w:rsidRPr="00EB56DA" w:rsidTr="00EB56DA">
        <w:trPr>
          <w:trHeight w:val="302"/>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   Cost of new system</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$10,800,000 </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r>
      <w:tr w:rsidR="00EB56DA" w:rsidRPr="00EB56DA" w:rsidTr="00EB56DA">
        <w:trPr>
          <w:trHeight w:val="317"/>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    Resale value of original system</w:t>
            </w:r>
          </w:p>
        </w:tc>
        <w:tc>
          <w:tcPr>
            <w:tcW w:w="1486" w:type="dxa"/>
            <w:tcBorders>
              <w:top w:val="nil"/>
              <w:left w:val="nil"/>
              <w:bottom w:val="double" w:sz="6"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($8,900,000)</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r>
      <w:tr w:rsidR="00EB56DA" w:rsidRPr="00EB56DA" w:rsidTr="00EB56DA">
        <w:trPr>
          <w:trHeight w:val="317"/>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    Effective net outlay for new system</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$1,900,000 </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r>
      <w:tr w:rsidR="00EB56DA" w:rsidRPr="00EB56DA" w:rsidTr="00EB56DA">
        <w:trPr>
          <w:trHeight w:val="317"/>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    Operating cost over life of new system ($500,000 x 5 years)</w:t>
            </w:r>
          </w:p>
        </w:tc>
        <w:tc>
          <w:tcPr>
            <w:tcW w:w="1486" w:type="dxa"/>
            <w:tcBorders>
              <w:top w:val="nil"/>
              <w:left w:val="nil"/>
              <w:bottom w:val="double" w:sz="6"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$2,500,000 </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r>
      <w:tr w:rsidR="00EB56DA" w:rsidRPr="00EB56DA" w:rsidTr="00EB56DA">
        <w:trPr>
          <w:trHeight w:val="317"/>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     Total cost of new system</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$4,400,000 </w:t>
            </w:r>
          </w:p>
        </w:tc>
      </w:tr>
      <w:tr w:rsidR="00EB56DA" w:rsidRPr="00EB56DA" w:rsidTr="00EB56DA">
        <w:trPr>
          <w:trHeight w:val="317"/>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Benefit of keeping the original system</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c>
          <w:tcPr>
            <w:tcW w:w="1486" w:type="dxa"/>
            <w:tcBorders>
              <w:top w:val="nil"/>
              <w:left w:val="nil"/>
              <w:bottom w:val="double" w:sz="6"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$125,000 </w:t>
            </w:r>
          </w:p>
        </w:tc>
      </w:tr>
      <w:tr w:rsidR="00EB56DA" w:rsidRPr="00EB56DA" w:rsidTr="00EB56DA">
        <w:trPr>
          <w:trHeight w:val="317"/>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The alternative incremental calculation follows:</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r>
      <w:tr w:rsidR="00EB56DA" w:rsidRPr="00EB56DA" w:rsidTr="00EB56DA">
        <w:trPr>
          <w:trHeight w:val="302"/>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   Savings from operating the new system for five years</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$1,775,000 </w:t>
            </w:r>
          </w:p>
        </w:tc>
      </w:tr>
      <w:tr w:rsidR="00EB56DA" w:rsidRPr="00EB56DA" w:rsidTr="00EB56DA">
        <w:trPr>
          <w:trHeight w:val="302"/>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   Less effective incremental outlay for new system</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($1,900,000)</w:t>
            </w:r>
          </w:p>
        </w:tc>
      </w:tr>
      <w:tr w:rsidR="00EB56DA" w:rsidRPr="00EB56DA" w:rsidTr="00EB56DA">
        <w:trPr>
          <w:trHeight w:val="317"/>
        </w:trPr>
        <w:tc>
          <w:tcPr>
            <w:tcW w:w="6876" w:type="dxa"/>
            <w:tcBorders>
              <w:top w:val="nil"/>
              <w:left w:val="single" w:sz="4" w:space="0" w:color="auto"/>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   Incremental advantage of keeping the original system</w:t>
            </w:r>
          </w:p>
        </w:tc>
        <w:tc>
          <w:tcPr>
            <w:tcW w:w="1486" w:type="dxa"/>
            <w:tcBorders>
              <w:top w:val="nil"/>
              <w:left w:val="nil"/>
              <w:bottom w:val="single" w:sz="4"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w:t>
            </w:r>
          </w:p>
        </w:tc>
        <w:tc>
          <w:tcPr>
            <w:tcW w:w="1486" w:type="dxa"/>
            <w:tcBorders>
              <w:top w:val="nil"/>
              <w:left w:val="nil"/>
              <w:bottom w:val="double" w:sz="6" w:space="0" w:color="auto"/>
              <w:right w:val="single" w:sz="4" w:space="0" w:color="auto"/>
            </w:tcBorders>
            <w:shd w:val="clear" w:color="auto" w:fill="auto"/>
            <w:noWrap/>
            <w:vAlign w:val="bottom"/>
            <w:hideMark/>
          </w:tcPr>
          <w:p w:rsidR="00EB56DA" w:rsidRPr="00EB56DA" w:rsidRDefault="00EB56DA" w:rsidP="00FE28A8">
            <w:pPr>
              <w:spacing w:after="0" w:line="240" w:lineRule="auto"/>
              <w:jc w:val="both"/>
              <w:rPr>
                <w:rFonts w:ascii="Calibri" w:eastAsia="Times New Roman" w:hAnsi="Calibri" w:cs="Calibri"/>
                <w:color w:val="000000"/>
              </w:rPr>
            </w:pPr>
            <w:r w:rsidRPr="00EB56DA">
              <w:rPr>
                <w:rFonts w:ascii="Calibri" w:eastAsia="Times New Roman" w:hAnsi="Calibri" w:cs="Calibri"/>
                <w:color w:val="000000"/>
              </w:rPr>
              <w:t xml:space="preserve">$125,000 </w:t>
            </w:r>
          </w:p>
        </w:tc>
      </w:tr>
    </w:tbl>
    <w:p w:rsidR="00EB56DA" w:rsidRDefault="00EB56DA" w:rsidP="00FE28A8">
      <w:pPr>
        <w:jc w:val="both"/>
      </w:pPr>
    </w:p>
    <w:p w:rsidR="002A5906" w:rsidRDefault="002A5906" w:rsidP="00FE28A8">
      <w:pPr>
        <w:jc w:val="both"/>
      </w:pPr>
      <w:r>
        <w:t>Using either system, Landry Mechanical will incur operating costs over the next five years, but will spend $355,000 less each year using the new system for lifetime operating savings of $1,775,000.</w:t>
      </w:r>
    </w:p>
    <w:p w:rsidR="002A5906" w:rsidRDefault="002A5906" w:rsidP="00FE28A8">
      <w:pPr>
        <w:jc w:val="both"/>
      </w:pPr>
      <w:r>
        <w:t xml:space="preserve">A common </w:t>
      </w:r>
      <w:r w:rsidR="00FE28A8">
        <w:t>analytical</w:t>
      </w:r>
      <w:r>
        <w:t xml:space="preserve"> tendency is to include the $12,000,000 sunk cost of the old system in the analysis. However, this cost does not </w:t>
      </w:r>
      <w:r w:rsidR="00FE28A8">
        <w:t>differ</w:t>
      </w:r>
      <w:r>
        <w:t xml:space="preserve"> between the decision alternatives. If Landry keeps the original system, the company will deduct the $12,000,000 as depreciation expense over the system’s life. Alternatively, if the system is sold, Landry will charge the $12,000,000 against the revenue realized from the system’s sale. Thus, the $12</w:t>
      </w:r>
      <w:r w:rsidR="00FE28A8">
        <w:t>, 000, 000</w:t>
      </w:r>
      <w:r>
        <w:t xml:space="preserve"> depreciation </w:t>
      </w:r>
      <w:r w:rsidR="00FE28A8">
        <w:t>charge</w:t>
      </w:r>
      <w:r>
        <w:t xml:space="preserve"> or its equivalent loss is the same in magnitude whether the company retains the original system or sells it and buys the new one. Because the amount is the same under both alternatives, it is not relevant to the decision process.</w:t>
      </w:r>
    </w:p>
    <w:p w:rsidR="002A5906" w:rsidRDefault="002A5906" w:rsidP="00FE28A8">
      <w:pPr>
        <w:jc w:val="both"/>
      </w:pPr>
      <w:r>
        <w:t xml:space="preserve">Landry must consider only the following relevant factors in deciding whether to purchase the new system: </w:t>
      </w:r>
    </w:p>
    <w:p w:rsidR="002A5906" w:rsidRDefault="002A5906" w:rsidP="00FE28A8">
      <w:pPr>
        <w:pStyle w:val="ListParagraph"/>
        <w:numPr>
          <w:ilvl w:val="0"/>
          <w:numId w:val="2"/>
        </w:numPr>
        <w:jc w:val="both"/>
      </w:pPr>
      <w:r>
        <w:t>Cost of the new system ($10,800,000);</w:t>
      </w:r>
    </w:p>
    <w:p w:rsidR="002A5906" w:rsidRDefault="002A5906" w:rsidP="00FE28A8">
      <w:pPr>
        <w:pStyle w:val="ListParagraph"/>
        <w:numPr>
          <w:ilvl w:val="0"/>
          <w:numId w:val="2"/>
        </w:numPr>
        <w:jc w:val="both"/>
      </w:pPr>
      <w:r>
        <w:t xml:space="preserve">Current resale value of the original system ($8,900,000); and </w:t>
      </w:r>
    </w:p>
    <w:p w:rsidR="002A5906" w:rsidRDefault="002A5906" w:rsidP="00FE28A8">
      <w:pPr>
        <w:pStyle w:val="ListParagraph"/>
        <w:numPr>
          <w:ilvl w:val="0"/>
          <w:numId w:val="2"/>
        </w:numPr>
        <w:jc w:val="both"/>
      </w:pPr>
      <w:r>
        <w:t xml:space="preserve">Annual savings of the </w:t>
      </w:r>
      <w:r w:rsidR="00FE28A8">
        <w:t>new system</w:t>
      </w:r>
      <w:r>
        <w:t xml:space="preserve"> ($355,000) and the number of years (five) such savings would be enjoyed.</w:t>
      </w:r>
    </w:p>
    <w:p w:rsidR="002A5906" w:rsidRDefault="002A5906" w:rsidP="00FE28A8">
      <w:pPr>
        <w:ind w:left="1440"/>
        <w:jc w:val="both"/>
      </w:pPr>
      <w:r>
        <w:t xml:space="preserve">This example demonstrates the difference between relevant and irrelevant costs, including sunk costs. </w:t>
      </w:r>
      <w:r w:rsidR="00FE28A8">
        <w:t>The next section discusses how the concept of relevant costing, incremental revenues, and incremental costs are applied in making routine, recurring managerial decisions.</w:t>
      </w:r>
    </w:p>
    <w:p w:rsidR="009D6D47" w:rsidRDefault="009D6D47" w:rsidP="00FE28A8">
      <w:pPr>
        <w:ind w:left="1440"/>
        <w:jc w:val="both"/>
      </w:pPr>
      <w:bookmarkStart w:id="0" w:name="_GoBack"/>
      <w:bookmarkEnd w:id="0"/>
    </w:p>
    <w:sectPr w:rsidR="009D6D47" w:rsidSect="005B162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59AF" w:rsidRDefault="00C859AF" w:rsidP="00E16E0E">
      <w:pPr>
        <w:spacing w:after="0" w:line="240" w:lineRule="auto"/>
      </w:pPr>
      <w:r>
        <w:separator/>
      </w:r>
    </w:p>
  </w:endnote>
  <w:endnote w:type="continuationSeparator" w:id="0">
    <w:p w:rsidR="00C859AF" w:rsidRDefault="00C859AF" w:rsidP="00E16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2940077"/>
      <w:docPartObj>
        <w:docPartGallery w:val="Page Numbers (Bottom of Page)"/>
        <w:docPartUnique/>
      </w:docPartObj>
    </w:sdtPr>
    <w:sdtEndPr>
      <w:rPr>
        <w:noProof/>
      </w:rPr>
    </w:sdtEndPr>
    <w:sdtContent>
      <w:p w:rsidR="00E16E0E" w:rsidRDefault="00E16E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16E0E" w:rsidRDefault="00E16E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59AF" w:rsidRDefault="00C859AF" w:rsidP="00E16E0E">
      <w:pPr>
        <w:spacing w:after="0" w:line="240" w:lineRule="auto"/>
      </w:pPr>
      <w:r>
        <w:separator/>
      </w:r>
    </w:p>
  </w:footnote>
  <w:footnote w:type="continuationSeparator" w:id="0">
    <w:p w:rsidR="00C859AF" w:rsidRDefault="00C859AF" w:rsidP="00E16E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8C5019"/>
    <w:multiLevelType w:val="hybridMultilevel"/>
    <w:tmpl w:val="0E8C87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1C6FEA"/>
    <w:multiLevelType w:val="hybridMultilevel"/>
    <w:tmpl w:val="882A4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D05"/>
    <w:rsid w:val="002A5906"/>
    <w:rsid w:val="004F75C6"/>
    <w:rsid w:val="00546719"/>
    <w:rsid w:val="005B1625"/>
    <w:rsid w:val="005E1B66"/>
    <w:rsid w:val="006A5D05"/>
    <w:rsid w:val="007C6AD9"/>
    <w:rsid w:val="009D6D47"/>
    <w:rsid w:val="00B051D7"/>
    <w:rsid w:val="00C859AF"/>
    <w:rsid w:val="00D62CDA"/>
    <w:rsid w:val="00E16E0E"/>
    <w:rsid w:val="00EB56DA"/>
    <w:rsid w:val="00F26150"/>
    <w:rsid w:val="00FE28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C8582"/>
  <w15:docId w15:val="{A753C93D-B98E-4F3D-B185-63643BB11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6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AD9"/>
    <w:pPr>
      <w:ind w:left="720"/>
      <w:contextualSpacing/>
    </w:pPr>
  </w:style>
  <w:style w:type="paragraph" w:styleId="BalloonText">
    <w:name w:val="Balloon Text"/>
    <w:basedOn w:val="Normal"/>
    <w:link w:val="BalloonTextChar"/>
    <w:uiPriority w:val="99"/>
    <w:semiHidden/>
    <w:unhideWhenUsed/>
    <w:rsid w:val="005467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6719"/>
    <w:rPr>
      <w:rFonts w:ascii="Segoe UI" w:hAnsi="Segoe UI" w:cs="Segoe UI"/>
      <w:sz w:val="18"/>
      <w:szCs w:val="18"/>
    </w:rPr>
  </w:style>
  <w:style w:type="paragraph" w:styleId="Header">
    <w:name w:val="header"/>
    <w:basedOn w:val="Normal"/>
    <w:link w:val="HeaderChar"/>
    <w:uiPriority w:val="99"/>
    <w:unhideWhenUsed/>
    <w:rsid w:val="00E16E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6E0E"/>
  </w:style>
  <w:style w:type="paragraph" w:styleId="Footer">
    <w:name w:val="footer"/>
    <w:basedOn w:val="Normal"/>
    <w:link w:val="FooterChar"/>
    <w:uiPriority w:val="99"/>
    <w:unhideWhenUsed/>
    <w:rsid w:val="00E16E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6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501448">
      <w:bodyDiv w:val="1"/>
      <w:marLeft w:val="0"/>
      <w:marRight w:val="0"/>
      <w:marTop w:val="0"/>
      <w:marBottom w:val="0"/>
      <w:divBdr>
        <w:top w:val="none" w:sz="0" w:space="0" w:color="auto"/>
        <w:left w:val="none" w:sz="0" w:space="0" w:color="auto"/>
        <w:bottom w:val="none" w:sz="0" w:space="0" w:color="auto"/>
        <w:right w:val="none" w:sz="0" w:space="0" w:color="auto"/>
      </w:divBdr>
    </w:div>
    <w:div w:id="185784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IIM</cp:lastModifiedBy>
  <cp:revision>8</cp:revision>
  <cp:lastPrinted>2017-11-14T12:14:00Z</cp:lastPrinted>
  <dcterms:created xsi:type="dcterms:W3CDTF">2015-11-05T10:55:00Z</dcterms:created>
  <dcterms:modified xsi:type="dcterms:W3CDTF">2017-11-14T12:14:00Z</dcterms:modified>
</cp:coreProperties>
</file>