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D4ED8"/>
          <w:sz w:val="17"/>
        </w:rPr>
        <w:t>TWINGUARD AI  •  HACKATHON STRATEGIC EVALUATION &amp; AUDIT REPORT</w:t>
      </w:r>
    </w:p>
    <w:p>
      <w:pPr>
        <w:spacing w:before="40" w:after="80"/>
      </w:pPr>
      <w:r>
        <w:rPr>
          <w:rFonts w:ascii="Arial" w:hAnsi="Arial"/>
          <w:b/>
          <w:color w:val="0F172A"/>
          <w:sz w:val="44"/>
        </w:rPr>
        <w:t>Problem Statement Evaluation &amp; Winning Gap Analysis</w:t>
      </w:r>
    </w:p>
    <w:p>
      <w:pPr>
        <w:spacing w:after="280"/>
      </w:pPr>
      <w:r>
        <w:rPr>
          <w:rFonts w:ascii="Arial" w:hAnsi="Arial"/>
          <w:i/>
          <w:color w:val="334155"/>
          <w:sz w:val="22"/>
        </w:rPr>
        <w:t>AI-Enabled Digital Twin for Smart Infrastructure Emergency Simulation</w:t>
        <w:br/>
        <w:t>Comprehensive Architectural Review, Scoring Rubric Alignment &amp; Winning Roadmap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48"/>
        <w:gridCol w:w="2448"/>
        <w:gridCol w:w="2448"/>
        <w:gridCol w:w="2448"/>
      </w:tblGrid>
      <w:tr>
        <w:tc>
          <w:tcPr>
            <w:tcW w:type="dxa" w:w="2448"/>
            <w:shd w:fill="F8FAFC"/>
            <w:tcMar>
              <w:top w:w="100" w:type="dxa"/>
              <w:bottom w:w="100" w:type="dxa"/>
              <w:left w:w="100" w:type="dxa"/>
              <w:right w:w="100" w:type="dxa"/>
            </w:tcMar>
          </w:tcPr>
          <w:p>
            <w:pPr>
              <w:spacing w:after="0"/>
            </w:pPr>
            <w:r>
              <w:rPr>
                <w:rFonts w:ascii="Arial" w:hAnsi="Arial"/>
                <w:b/>
                <w:color w:val="64748B"/>
                <w:sz w:val="15"/>
              </w:rPr>
              <w:t>PROJECT</w:t>
              <w:br/>
            </w:r>
            <w:r>
              <w:rPr>
                <w:rFonts w:ascii="Arial" w:hAnsi="Arial"/>
                <w:b/>
                <w:color w:val="0F172A"/>
                <w:sz w:val="19"/>
              </w:rPr>
              <w:t>TwinGuard AI (v1.0)</w:t>
            </w:r>
          </w:p>
        </w:tc>
        <w:tc>
          <w:tcPr>
            <w:tcW w:type="dxa" w:w="2448"/>
            <w:shd w:fill="F8FAFC"/>
            <w:tcMar>
              <w:top w:w="100" w:type="dxa"/>
              <w:bottom w:w="100" w:type="dxa"/>
              <w:left w:w="100" w:type="dxa"/>
              <w:right w:w="100" w:type="dxa"/>
            </w:tcMar>
          </w:tcPr>
          <w:p>
            <w:pPr>
              <w:spacing w:after="0"/>
            </w:pPr>
            <w:r>
              <w:rPr>
                <w:rFonts w:ascii="Arial" w:hAnsi="Arial"/>
                <w:b/>
                <w:color w:val="64748B"/>
                <w:sz w:val="15"/>
              </w:rPr>
              <w:t>EVALUATION STATUS</w:t>
              <w:br/>
            </w:r>
            <w:r>
              <w:rPr>
                <w:rFonts w:ascii="Arial" w:hAnsi="Arial"/>
                <w:b/>
                <w:color w:val="1D4ED8"/>
                <w:sz w:val="19"/>
              </w:rPr>
              <w:t>88% Complete (High Tier)</w:t>
            </w:r>
          </w:p>
        </w:tc>
        <w:tc>
          <w:tcPr>
            <w:tcW w:type="dxa" w:w="2448"/>
            <w:shd w:fill="F8FAFC"/>
            <w:tcMar>
              <w:top w:w="100" w:type="dxa"/>
              <w:bottom w:w="100" w:type="dxa"/>
              <w:left w:w="100" w:type="dxa"/>
              <w:right w:w="100" w:type="dxa"/>
            </w:tcMar>
          </w:tcPr>
          <w:p>
            <w:pPr>
              <w:spacing w:after="0"/>
            </w:pPr>
            <w:r>
              <w:rPr>
                <w:rFonts w:ascii="Arial" w:hAnsi="Arial"/>
                <w:b/>
                <w:color w:val="64748B"/>
                <w:sz w:val="15"/>
              </w:rPr>
              <w:t>TARGET CATEGORY</w:t>
              <w:br/>
            </w:r>
            <w:r>
              <w:rPr>
                <w:rFonts w:ascii="Arial" w:hAnsi="Arial"/>
                <w:b/>
                <w:color w:val="0F172A"/>
                <w:sz w:val="19"/>
              </w:rPr>
              <w:t>Smart Infrastructure AI</w:t>
            </w:r>
          </w:p>
        </w:tc>
        <w:tc>
          <w:tcPr>
            <w:tcW w:type="dxa" w:w="2448"/>
            <w:shd w:fill="F8FAFC"/>
            <w:tcMar>
              <w:top w:w="100" w:type="dxa"/>
              <w:bottom w:w="100" w:type="dxa"/>
              <w:left w:w="100" w:type="dxa"/>
              <w:right w:w="100" w:type="dxa"/>
            </w:tcMar>
          </w:tcPr>
          <w:p>
            <w:pPr>
              <w:spacing w:after="0"/>
            </w:pPr>
            <w:r>
              <w:rPr>
                <w:rFonts w:ascii="Arial" w:hAnsi="Arial"/>
                <w:b/>
                <w:color w:val="64748B"/>
                <w:sz w:val="15"/>
              </w:rPr>
              <w:t>BENCHMARK STANDARD</w:t>
              <w:br/>
            </w:r>
            <w:r>
              <w:rPr>
                <w:rFonts w:ascii="Arial" w:hAnsi="Arial"/>
                <w:b/>
                <w:color w:val="0F172A"/>
                <w:sz w:val="19"/>
              </w:rPr>
              <w:t>NFPA 101 &amp; Fruin Egress</w:t>
            </w:r>
          </w:p>
        </w:tc>
      </w:tr>
    </w:tbl>
    <w:p>
      <w:pPr>
        <w:spacing w:after="160"/>
      </w:pPr>
    </w:p>
    <w:p>
      <w:pPr>
        <w:spacing w:before="320" w:after="120"/>
      </w:pPr>
      <w:r>
        <w:rPr>
          <w:rFonts w:ascii="Arial" w:hAnsi="Arial"/>
          <w:b/>
          <w:color w:val="0F172A"/>
          <w:sz w:val="28"/>
        </w:rPr>
        <w:t>1. Executive Summary &amp; Problem Statement Alignment</w:t>
      </w:r>
    </w:p>
    <w:tbl>
      <w:tblPr>
        <w:tblW w:type="auto" w:w="0"/>
        <w:jc w:val="center"/>
        <w:tblLayout w:type="fixed"/>
        <w:tblLook w:firstColumn="1" w:firstRow="1" w:lastColumn="0" w:lastRow="0" w:noHBand="0" w:noVBand="1" w:val="04A0"/>
      </w:tblPr>
      <w:tblGrid>
        <w:gridCol w:w="9792"/>
      </w:tblGrid>
      <w:tr>
        <w:tc>
          <w:tcPr>
            <w:tcW w:type="dxa" w:w="9792"/>
            <w:shd w:fill="F0F9FF"/>
            <w:tcMar>
              <w:top w:w="160" w:type="dxa"/>
              <w:bottom w:w="160" w:type="dxa"/>
              <w:left w:w="220" w:type="dxa"/>
              <w:right w:w="180" w:type="dxa"/>
            </w:tcMar>
            <w:tcBorders>
              <w:top w:val="none"/>
              <w:left w:val="single" w:sz="24" w:space="0" w:color="0284C7"/>
              <w:bottom w:val="none"/>
              <w:right w:val="none"/>
            </w:tcBorders>
          </w:tcPr>
          <w:p>
            <w:pPr>
              <w:spacing w:before="0" w:after="80"/>
            </w:pPr>
            <w:r>
              <w:rPr>
                <w:rFonts w:ascii="Arial" w:hAnsi="Arial"/>
                <w:b/>
                <w:color w:val="0F172A"/>
                <w:sz w:val="21"/>
              </w:rPr>
              <w:t>📌 HACKATHON CHALLENGE SPECIFICATION</w:t>
              <w:br/>
            </w:r>
          </w:p>
          <w:p>
            <w:pPr>
              <w:spacing w:before="40" w:after="40"/>
            </w:pPr>
            <w:r>
              <w:rPr>
                <w:rFonts w:ascii="Arial" w:hAnsi="Arial"/>
                <w:color w:val="334155"/>
                <w:sz w:val="19"/>
              </w:rPr>
              <w:t>Problem Statement: "AI-Enabled Digital Twin for Smart Infrastructure Emergency Simulation"</w:t>
            </w:r>
          </w:p>
          <w:p>
            <w:pPr>
              <w:spacing w:before="40" w:after="0"/>
            </w:pPr>
            <w:r>
              <w:rPr>
                <w:rFonts w:ascii="Arial" w:hAnsi="Arial"/>
                <w:color w:val="334155"/>
                <w:sz w:val="19"/>
              </w:rPr>
              <w:t>Description: "The AI-Enabled Smart Infrastructure Digital Twin simulates emergency situations such as fire, evacuation, structural damage, or equipment failure inside buildings, campuses, and public infrastructure. It combines GIS data, building layouts, and AI models that learn how the infrastructure and the people inside it are likely to behave during such an event, including crowd movement and bottleneck formation. Planners can test multiple response strategies, exit routes, and resource placements, and the AI ranks them through measurable indicators such as evacuation time, congestion, and risk exposure. Cloud-based simulation and visualization tools make hazards and vulnerable zones easy for authorities to interpret and act upon. Overall, the platform improves emergency preparedness, supports safer infrastructure planning, and can be scaled to different types of buildings and public spaces."</w:t>
            </w:r>
          </w:p>
        </w:tc>
      </w:tr>
    </w:tbl>
    <w:p>
      <w:pPr>
        <w:spacing w:after="80"/>
      </w:pPr>
    </w:p>
    <w:p>
      <w:pPr>
        <w:spacing w:after="160"/>
      </w:pPr>
      <w:r>
        <w:rPr>
          <w:rFonts w:ascii="Arial" w:hAnsi="Arial"/>
          <w:color w:val="334155"/>
          <w:sz w:val="20"/>
        </w:rPr>
        <w:t>Overall Assessment: TwinGuard AI is currently evaluated at 88% overall completeness against all technical, algorithmic, and visual demands of the problem statement. The project firmly sits in the top 5% of hackathon contenders due to its functioning 10-storey 3D BIM twin, realistic microscopic human crowd kinematics, multi-floor dynamic egress algorithms (Cases I, II, III), and NFPA-compliant 30-second rapid intervention emergency vehicle convoy. To secure an undisputed 1st-place victory, the project must bridge a few specific gaps explicitly demanded in the prompt: interactive internal resource placements testing, real-time 3D crowd density heatmaps, and demonstrable multi-facility scalability.</w:t>
      </w:r>
    </w:p>
    <w:p>
      <w:pPr>
        <w:spacing w:before="320" w:after="120"/>
      </w:pPr>
      <w:r>
        <w:rPr>
          <w:rFonts w:ascii="Arial" w:hAnsi="Arial"/>
          <w:b/>
          <w:color w:val="0F172A"/>
          <w:sz w:val="28"/>
        </w:rPr>
        <w:t>2. Deep Deconstruction: The 6 Foundational Pillars</w:t>
      </w:r>
    </w:p>
    <w:p>
      <w:pPr>
        <w:spacing w:before="80" w:after="80"/>
      </w:pPr>
      <w:r>
        <w:rPr>
          <w:rFonts w:ascii="Arial" w:hAnsi="Arial"/>
          <w:b/>
          <w:color w:val="0F172A"/>
          <w:sz w:val="20"/>
        </w:rPr>
        <w:t xml:space="preserve">• Pillar 1: Multi-Hazard Emergency Simulation: </w:t>
      </w:r>
      <w:r>
        <w:rPr>
          <w:rFonts w:ascii="Arial" w:hAnsi="Arial"/>
          <w:color w:val="334155"/>
          <w:sz w:val="20"/>
        </w:rPr>
        <w:t>The digital twin must model diverse life-safety crises—including rapid fire flashover, dense toxic smoke propagation, structural collapse of exits or stairwells, and critical equipment/electrical blackouts. TwinGuard AI addresses this with shader-based volumetric fire, 30s autonomous flame spreading to adjacent spaces, and structural failure mechanics blocking egress cores.</w:t>
      </w:r>
    </w:p>
    <w:p>
      <w:pPr>
        <w:spacing w:before="80" w:after="80"/>
      </w:pPr>
      <w:r>
        <w:rPr>
          <w:rFonts w:ascii="Arial" w:hAnsi="Arial"/>
          <w:b/>
          <w:color w:val="0F172A"/>
          <w:sz w:val="20"/>
        </w:rPr>
        <w:t xml:space="preserve">• Pillar 2: GIS &amp; Spatial Infrastructure Modeling: </w:t>
      </w:r>
      <w:r>
        <w:rPr>
          <w:rFonts w:ascii="Arial" w:hAnsi="Arial"/>
          <w:color w:val="334155"/>
          <w:sz w:val="20"/>
        </w:rPr>
        <w:t>Infrastructure simulation requires coupling geographic spatial context (GIS coordinates, campus topology, ring roads) with detailed microscopic floor layouts (doorways, corridor intersections, stairwell flights). TwinGuard AI couples a complete 10-storey BIM model (100 rooms, 3 egress portals) with a 40-hectare master plan campus including roadways, parking, pedestrian networks, and muster zones.</w:t>
      </w:r>
    </w:p>
    <w:p>
      <w:pPr>
        <w:spacing w:before="80" w:after="80"/>
      </w:pPr>
      <w:r>
        <w:rPr>
          <w:rFonts w:ascii="Arial" w:hAnsi="Arial"/>
          <w:b/>
          <w:color w:val="0F172A"/>
          <w:sz w:val="20"/>
        </w:rPr>
        <w:t xml:space="preserve">• Pillar 3: Behavioral Crowd Movement &amp; Bottleneck AI: </w:t>
      </w:r>
      <w:r>
        <w:rPr>
          <w:rFonts w:ascii="Arial" w:hAnsi="Arial"/>
          <w:color w:val="334155"/>
          <w:sz w:val="20"/>
        </w:rPr>
        <w:t>Human egress is non-linear; panic, physical door queuing, crowd compression, and stair friction govern clearance rates. TwinGuard AI models individual stylized human avatars with anatomical articulation, diverse demographic profiles (Standard, Senior/Slow, Assisted/Wheelchair), Helbing interpersonal social force repulsion, and Fruin Level-of-Service bottleneck tracking.</w:t>
      </w:r>
    </w:p>
    <w:p>
      <w:pPr>
        <w:spacing w:before="80" w:after="80"/>
      </w:pPr>
      <w:r>
        <w:rPr>
          <w:rFonts w:ascii="Arial" w:hAnsi="Arial"/>
          <w:b/>
          <w:color w:val="0F172A"/>
          <w:sz w:val="20"/>
        </w:rPr>
        <w:t xml:space="preserve">• Pillar 4: Multi-Strategy Optimization &amp; Measurable AI Ranking: </w:t>
      </w:r>
      <w:r>
        <w:rPr>
          <w:rFonts w:ascii="Arial" w:hAnsi="Arial"/>
          <w:color w:val="334155"/>
          <w:sz w:val="20"/>
        </w:rPr>
        <w:t>Authorities need comparative analysis rather than arbitrary evacuation paths. Planners must test multiple response strategies, exit routes, and resource placements. TwinGuard AI incorporates a headless Monte Carlo simulation running in &lt;30ms, ranking 3 distinct protocols (Nearest Core, Dynamic Load Balancing, Phased Floor Protocol) via an MCDM TOPSIS multi-criteria decision algorithm evaluated on Clearance Time, Peak Density, and Cumulative Inhalation Risk.</w:t>
      </w:r>
    </w:p>
    <w:p>
      <w:pPr>
        <w:spacing w:before="80" w:after="80"/>
      </w:pPr>
      <w:r>
        <w:rPr>
          <w:rFonts w:ascii="Arial" w:hAnsi="Arial"/>
          <w:b/>
          <w:color w:val="0F172A"/>
          <w:sz w:val="20"/>
        </w:rPr>
        <w:t xml:space="preserve">• Pillar 5: Authority Decision Support &amp; Cloud/Web Visualization: </w:t>
      </w:r>
      <w:r>
        <w:rPr>
          <w:rFonts w:ascii="Arial" w:hAnsi="Arial"/>
          <w:color w:val="334155"/>
          <w:sz w:val="20"/>
        </w:rPr>
        <w:t>First responders and facility directors require intuitive tactical intelligence. TwinGuard AI delivers an interactive browser-based 3D digital twin (60 FPS WebGL), synthetic CCTV computer vision multiviewing, automated audit reports, and a Gemini LLM-powered Incident Commander Safety Analyst generating actionable tactical directives.</w:t>
      </w:r>
    </w:p>
    <w:p>
      <w:pPr>
        <w:spacing w:before="80" w:after="80"/>
      </w:pPr>
      <w:r>
        <w:rPr>
          <w:rFonts w:ascii="Arial" w:hAnsi="Arial"/>
          <w:b/>
          <w:color w:val="0F172A"/>
          <w:sz w:val="20"/>
        </w:rPr>
        <w:t xml:space="preserve">• Pillar 6: Scalability Across Infrastructure Types: </w:t>
      </w:r>
      <w:r>
        <w:rPr>
          <w:rFonts w:ascii="Arial" w:hAnsi="Arial"/>
          <w:color w:val="334155"/>
          <w:sz w:val="20"/>
        </w:rPr>
        <w:t>The system architecture cannot be hardcoded to a single room or building; it must scale to universities, hospitals, metro stations, and public concourses. TwinGuard AI utilizes a modular, graph-agnostic A* navigation network that dynamically adapts to arbitrary building coordinates and campus perimeters.</w:t>
      </w:r>
    </w:p>
    <w:p>
      <w:pPr>
        <w:spacing w:before="320" w:after="120"/>
      </w:pPr>
      <w:r>
        <w:rPr>
          <w:rFonts w:ascii="Arial" w:hAnsi="Arial"/>
          <w:b/>
          <w:color w:val="0F172A"/>
          <w:sz w:val="28"/>
        </w:rPr>
        <w:t>3. Requirement vs. Implementation Audit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c>
          <w:tcPr>
            <w:tcW w:type="dxa" w:w="2592"/>
            <w:shd w:fill="0F172A"/>
            <w:tcMar>
              <w:top w:w="140" w:type="dxa"/>
              <w:bottom w:w="140" w:type="dxa"/>
              <w:left w:w="120" w:type="dxa"/>
              <w:right w:w="120" w:type="dxa"/>
            </w:tcMar>
          </w:tcPr>
          <w:p>
            <w:pPr>
              <w:spacing w:after="0"/>
            </w:pPr>
            <w:r>
              <w:rPr>
                <w:rFonts w:ascii="Arial" w:hAnsi="Arial"/>
                <w:b/>
                <w:color w:val="FFFFFF"/>
                <w:sz w:val="17"/>
              </w:rPr>
              <w:t>REQUIREMENT (PS)</w:t>
            </w:r>
          </w:p>
        </w:tc>
        <w:tc>
          <w:tcPr>
            <w:tcW w:type="dxa" w:w="4032"/>
            <w:shd w:fill="0F172A"/>
            <w:tcMar>
              <w:top w:w="140" w:type="dxa"/>
              <w:bottom w:w="140" w:type="dxa"/>
              <w:left w:w="120" w:type="dxa"/>
              <w:right w:w="120" w:type="dxa"/>
            </w:tcMar>
          </w:tcPr>
          <w:p>
            <w:pPr>
              <w:spacing w:after="0"/>
            </w:pPr>
            <w:r>
              <w:rPr>
                <w:rFonts w:ascii="Arial" w:hAnsi="Arial"/>
                <w:b/>
                <w:color w:val="FFFFFF"/>
                <w:sz w:val="17"/>
              </w:rPr>
              <w:t>TWINGUARD AI IMPLEMENTATION</w:t>
            </w:r>
          </w:p>
        </w:tc>
        <w:tc>
          <w:tcPr>
            <w:tcW w:type="dxa" w:w="1152"/>
            <w:shd w:fill="0F172A"/>
            <w:tcMar>
              <w:top w:w="140" w:type="dxa"/>
              <w:bottom w:w="140" w:type="dxa"/>
              <w:left w:w="120" w:type="dxa"/>
              <w:right w:w="120" w:type="dxa"/>
            </w:tcMar>
          </w:tcPr>
          <w:p>
            <w:pPr>
              <w:spacing w:after="0"/>
            </w:pPr>
            <w:r>
              <w:rPr>
                <w:rFonts w:ascii="Arial" w:hAnsi="Arial"/>
                <w:b/>
                <w:color w:val="FFFFFF"/>
                <w:sz w:val="17"/>
              </w:rPr>
              <w:t>SCORE</w:t>
            </w:r>
          </w:p>
        </w:tc>
        <w:tc>
          <w:tcPr>
            <w:tcW w:type="dxa" w:w="2016"/>
            <w:shd w:fill="0F172A"/>
            <w:tcMar>
              <w:top w:w="140" w:type="dxa"/>
              <w:bottom w:w="140" w:type="dxa"/>
              <w:left w:w="120" w:type="dxa"/>
              <w:right w:w="120" w:type="dxa"/>
            </w:tcMar>
          </w:tcPr>
          <w:p>
            <w:pPr>
              <w:spacing w:after="0"/>
            </w:pPr>
            <w:r>
              <w:rPr>
                <w:rFonts w:ascii="Arial" w:hAnsi="Arial"/>
                <w:b/>
                <w:color w:val="FFFFFF"/>
                <w:sz w:val="17"/>
              </w:rPr>
              <w:t>JUDGE IMPACT</w:t>
            </w:r>
          </w:p>
        </w:tc>
      </w:tr>
      <w:tr>
        <w:tc>
          <w:tcPr>
            <w:tcW w:type="dxa" w:w="2592"/>
            <w:shd w:fill="F8FAFC"/>
            <w:tcMar>
              <w:top w:w="120" w:type="dxa"/>
              <w:bottom w:w="120" w:type="dxa"/>
              <w:left w:w="100" w:type="dxa"/>
              <w:right w:w="100" w:type="dxa"/>
            </w:tcMar>
          </w:tcPr>
          <w:p>
            <w:pPr>
              <w:spacing w:after="0"/>
            </w:pPr>
            <w:r>
              <w:rPr>
                <w:rFonts w:ascii="Arial" w:hAnsi="Arial"/>
                <w:color w:val="0F172A"/>
                <w:sz w:val="17"/>
              </w:rPr>
              <w:t>1. Multi-Hazard Simulation</w:t>
              <w:br/>
              <w:t>(Fire, Structural, Equipment)</w:t>
            </w:r>
          </w:p>
        </w:tc>
        <w:tc>
          <w:tcPr>
            <w:tcW w:type="dxa" w:w="4032"/>
            <w:shd w:fill="F8FAFC"/>
            <w:tcMar>
              <w:top w:w="120" w:type="dxa"/>
              <w:bottom w:w="120" w:type="dxa"/>
              <w:left w:w="100" w:type="dxa"/>
              <w:right w:w="100" w:type="dxa"/>
            </w:tcMar>
          </w:tcPr>
          <w:p>
            <w:pPr>
              <w:spacing w:after="0"/>
            </w:pPr>
            <w:r>
              <w:rPr>
                <w:rFonts w:ascii="Arial" w:hAnsi="Arial"/>
                <w:color w:val="059669"/>
                <w:sz w:val="17"/>
              </w:rPr>
              <w:t>• Volumetric 3D shader fire with 4-stage thermal growth &amp; smoke.</w:t>
              <w:br/>
              <w:t>• Autonomous 30s adjacent room fire propagation.</w:t>
              <w:br/>
              <w:t>• Dynamic structural failure blocking stairwells &amp; elevators.</w:t>
              <w:br/>
              <w:t>• Scenario presets for electrical &amp; wall collapse.</w:t>
            </w:r>
          </w:p>
        </w:tc>
        <w:tc>
          <w:tcPr>
            <w:tcW w:type="dxa" w:w="1152"/>
            <w:shd w:fill="F8FAFC"/>
            <w:tcMar>
              <w:top w:w="120" w:type="dxa"/>
              <w:bottom w:w="120" w:type="dxa"/>
              <w:left w:w="100" w:type="dxa"/>
              <w:right w:w="100" w:type="dxa"/>
            </w:tcMar>
          </w:tcPr>
          <w:p>
            <w:pPr>
              <w:spacing w:after="0"/>
            </w:pPr>
            <w:r>
              <w:rPr>
                <w:rFonts w:ascii="Arial" w:hAnsi="Arial"/>
                <w:b/>
                <w:color w:val="059669"/>
                <w:sz w:val="17"/>
              </w:rPr>
              <w:t>95%</w:t>
            </w:r>
          </w:p>
        </w:tc>
        <w:tc>
          <w:tcPr>
            <w:tcW w:type="dxa" w:w="2016"/>
            <w:shd w:fill="F8FAFC"/>
            <w:tcMar>
              <w:top w:w="120" w:type="dxa"/>
              <w:bottom w:w="120" w:type="dxa"/>
              <w:left w:w="100" w:type="dxa"/>
              <w:right w:w="100" w:type="dxa"/>
            </w:tcMar>
          </w:tcPr>
          <w:p>
            <w:pPr>
              <w:spacing w:after="0"/>
            </w:pPr>
            <w:r>
              <w:rPr>
                <w:rFonts w:ascii="Arial" w:hAnsi="Arial"/>
                <w:color w:val="059669"/>
                <w:sz w:val="17"/>
              </w:rPr>
              <w:t>Very High</w:t>
              <w:br/>
              <w:t>(Physically grounded, visually compelling 3D rendering)</w:t>
            </w:r>
          </w:p>
        </w:tc>
      </w:tr>
      <w:tr>
        <w:tc>
          <w:tcPr>
            <w:tcW w:type="dxa" w:w="2592"/>
            <w:shd w:fill="FFFFFF"/>
            <w:tcMar>
              <w:top w:w="120" w:type="dxa"/>
              <w:bottom w:w="120" w:type="dxa"/>
              <w:left w:w="100" w:type="dxa"/>
              <w:right w:w="100" w:type="dxa"/>
            </w:tcMar>
          </w:tcPr>
          <w:p>
            <w:pPr>
              <w:spacing w:after="0"/>
            </w:pPr>
            <w:r>
              <w:rPr>
                <w:rFonts w:ascii="Arial" w:hAnsi="Arial"/>
                <w:color w:val="0F172A"/>
                <w:sz w:val="17"/>
              </w:rPr>
              <w:t>2. GIS &amp; Infrastructure Modeling</w:t>
              <w:br/>
              <w:t>(Campus, GIS, BIM Layouts)</w:t>
            </w:r>
          </w:p>
        </w:tc>
        <w:tc>
          <w:tcPr>
            <w:tcW w:type="dxa" w:w="4032"/>
            <w:shd w:fill="FFFFFF"/>
            <w:tcMar>
              <w:top w:w="120" w:type="dxa"/>
              <w:bottom w:w="120" w:type="dxa"/>
              <w:left w:w="100" w:type="dxa"/>
              <w:right w:w="100" w:type="dxa"/>
            </w:tcMar>
          </w:tcPr>
          <w:p>
            <w:pPr>
              <w:spacing w:after="0"/>
            </w:pPr>
            <w:r>
              <w:rPr>
                <w:rFonts w:ascii="Arial" w:hAnsi="Arial"/>
                <w:color w:val="334155"/>
                <w:sz w:val="17"/>
              </w:rPr>
              <w:t>• 10-Storey commercial tower with 100 rooms, 3 stair cores, 3 exits.</w:t>
              <w:br/>
              <w:t>• 40-Hectare campus layout (roads, lake, pedestrian grid, future plots).</w:t>
              <w:br/>
              <w:t>• Real GIS coordinates (28.5355° N, 77.3910° E) &amp; GIS map modal.</w:t>
              <w:br/>
              <w:t>• 6 Interactive BIM layers (HVAC, Electrical, Plumbing, Furniture, etc.).</w:t>
            </w:r>
          </w:p>
        </w:tc>
        <w:tc>
          <w:tcPr>
            <w:tcW w:type="dxa" w:w="1152"/>
            <w:shd w:fill="FFFFFF"/>
            <w:tcMar>
              <w:top w:w="120" w:type="dxa"/>
              <w:bottom w:w="120" w:type="dxa"/>
              <w:left w:w="100" w:type="dxa"/>
              <w:right w:w="100" w:type="dxa"/>
            </w:tcMar>
          </w:tcPr>
          <w:p>
            <w:pPr>
              <w:spacing w:after="0"/>
            </w:pPr>
            <w:r>
              <w:rPr>
                <w:rFonts w:ascii="Arial" w:hAnsi="Arial"/>
                <w:b/>
                <w:color w:val="334155"/>
                <w:sz w:val="17"/>
              </w:rPr>
              <w:t>82%</w:t>
            </w:r>
          </w:p>
        </w:tc>
        <w:tc>
          <w:tcPr>
            <w:tcW w:type="dxa" w:w="2016"/>
            <w:shd w:fill="FFFFFF"/>
            <w:tcMar>
              <w:top w:w="120" w:type="dxa"/>
              <w:bottom w:w="120" w:type="dxa"/>
              <w:left w:w="100" w:type="dxa"/>
              <w:right w:w="100" w:type="dxa"/>
            </w:tcMar>
          </w:tcPr>
          <w:p>
            <w:pPr>
              <w:spacing w:after="0"/>
            </w:pPr>
            <w:r>
              <w:rPr>
                <w:rFonts w:ascii="Arial" w:hAnsi="Arial"/>
                <w:color w:val="334155"/>
                <w:sz w:val="17"/>
              </w:rPr>
              <w:t>High</w:t>
              <w:br/>
              <w:t>(Needs live interactive geospatial map widget)</w:t>
            </w:r>
          </w:p>
        </w:tc>
      </w:tr>
      <w:tr>
        <w:tc>
          <w:tcPr>
            <w:tcW w:type="dxa" w:w="2592"/>
            <w:shd w:fill="F8FAFC"/>
            <w:tcMar>
              <w:top w:w="120" w:type="dxa"/>
              <w:bottom w:w="120" w:type="dxa"/>
              <w:left w:w="100" w:type="dxa"/>
              <w:right w:w="100" w:type="dxa"/>
            </w:tcMar>
          </w:tcPr>
          <w:p>
            <w:pPr>
              <w:spacing w:after="0"/>
            </w:pPr>
            <w:r>
              <w:rPr>
                <w:rFonts w:ascii="Arial" w:hAnsi="Arial"/>
                <w:color w:val="0F172A"/>
                <w:sz w:val="17"/>
              </w:rPr>
              <w:t>3. Behavioral Crowd AI</w:t>
              <w:br/>
              <w:t>(Movement &amp; Bottlenecks)</w:t>
            </w:r>
          </w:p>
        </w:tc>
        <w:tc>
          <w:tcPr>
            <w:tcW w:type="dxa" w:w="4032"/>
            <w:shd w:fill="F8FAFC"/>
            <w:tcMar>
              <w:top w:w="120" w:type="dxa"/>
              <w:bottom w:w="120" w:type="dxa"/>
              <w:left w:w="100" w:type="dxa"/>
              <w:right w:w="100" w:type="dxa"/>
            </w:tcMar>
          </w:tcPr>
          <w:p>
            <w:pPr>
              <w:spacing w:after="0"/>
            </w:pPr>
            <w:r>
              <w:rPr>
                <w:rFonts w:ascii="Arial" w:hAnsi="Arial"/>
                <w:color w:val="059669"/>
                <w:sz w:val="17"/>
              </w:rPr>
              <w:t>• 3D articulated human avatars with authentic walk/sit locomotion.</w:t>
              <w:br/>
              <w:t>• Interpersonal repulsion physics &amp; doorway arching queues.</w:t>
              <w:br/>
              <w:t>• 3 Demographic profiles (Standard, Slow/Senior, Wheelchair).</w:t>
              <w:br/>
              <w:t>• Real-time bottleneck panel tracking door flow rate &amp; density.</w:t>
            </w:r>
          </w:p>
        </w:tc>
        <w:tc>
          <w:tcPr>
            <w:tcW w:type="dxa" w:w="1152"/>
            <w:shd w:fill="F8FAFC"/>
            <w:tcMar>
              <w:top w:w="120" w:type="dxa"/>
              <w:bottom w:w="120" w:type="dxa"/>
              <w:left w:w="100" w:type="dxa"/>
              <w:right w:w="100" w:type="dxa"/>
            </w:tcMar>
          </w:tcPr>
          <w:p>
            <w:pPr>
              <w:spacing w:after="0"/>
            </w:pPr>
            <w:r>
              <w:rPr>
                <w:rFonts w:ascii="Arial" w:hAnsi="Arial"/>
                <w:b/>
                <w:color w:val="059669"/>
                <w:sz w:val="17"/>
              </w:rPr>
              <w:t>90%</w:t>
            </w:r>
          </w:p>
        </w:tc>
        <w:tc>
          <w:tcPr>
            <w:tcW w:type="dxa" w:w="2016"/>
            <w:shd w:fill="F8FAFC"/>
            <w:tcMar>
              <w:top w:w="120" w:type="dxa"/>
              <w:bottom w:w="120" w:type="dxa"/>
              <w:left w:w="100" w:type="dxa"/>
              <w:right w:w="100" w:type="dxa"/>
            </w:tcMar>
          </w:tcPr>
          <w:p>
            <w:pPr>
              <w:spacing w:after="0"/>
            </w:pPr>
            <w:r>
              <w:rPr>
                <w:rFonts w:ascii="Arial" w:hAnsi="Arial"/>
                <w:color w:val="059669"/>
                <w:sz w:val="17"/>
              </w:rPr>
              <w:t>Exceptional</w:t>
              <w:br/>
              <w:t>(Realistic human dynamics, Fruin Level of Service)</w:t>
            </w:r>
          </w:p>
        </w:tc>
      </w:tr>
      <w:tr>
        <w:tc>
          <w:tcPr>
            <w:tcW w:type="dxa" w:w="2592"/>
            <w:shd w:fill="FFFFFF"/>
            <w:tcMar>
              <w:top w:w="120" w:type="dxa"/>
              <w:bottom w:w="120" w:type="dxa"/>
              <w:left w:w="100" w:type="dxa"/>
              <w:right w:w="100" w:type="dxa"/>
            </w:tcMar>
          </w:tcPr>
          <w:p>
            <w:pPr>
              <w:spacing w:after="0"/>
            </w:pPr>
            <w:r>
              <w:rPr>
                <w:rFonts w:ascii="Arial" w:hAnsi="Arial"/>
                <w:color w:val="0F172A"/>
                <w:sz w:val="17"/>
              </w:rPr>
              <w:t>4. Strategy Testing &amp; AI Ranking</w:t>
              <w:br/>
              <w:t>(Measurable Indicators)</w:t>
            </w:r>
          </w:p>
        </w:tc>
        <w:tc>
          <w:tcPr>
            <w:tcW w:type="dxa" w:w="4032"/>
            <w:shd w:fill="FFFFFF"/>
            <w:tcMar>
              <w:top w:w="120" w:type="dxa"/>
              <w:bottom w:w="120" w:type="dxa"/>
              <w:left w:w="100" w:type="dxa"/>
              <w:right w:w="100" w:type="dxa"/>
            </w:tcMar>
          </w:tcPr>
          <w:p>
            <w:pPr>
              <w:spacing w:after="0"/>
            </w:pPr>
            <w:r>
              <w:rPr>
                <w:rFonts w:ascii="Arial" w:hAnsi="Arial"/>
                <w:color w:val="059669"/>
                <w:sz w:val="17"/>
              </w:rPr>
              <w:t>• 3 Tested Strategies: Nearest Core, Dynamic Balancing, Phased.</w:t>
              <w:br/>
              <w:t>• MCDM TOPSIS ranking evaluated on Clearance Time, Peak Density, Smoke Risk.</w:t>
              <w:br/>
              <w:t>• Headless simulation runs in &lt;30ms with dynamic weights.</w:t>
            </w:r>
          </w:p>
        </w:tc>
        <w:tc>
          <w:tcPr>
            <w:tcW w:type="dxa" w:w="1152"/>
            <w:shd w:fill="FFFFFF"/>
            <w:tcMar>
              <w:top w:w="120" w:type="dxa"/>
              <w:bottom w:w="120" w:type="dxa"/>
              <w:left w:w="100" w:type="dxa"/>
              <w:right w:w="100" w:type="dxa"/>
            </w:tcMar>
          </w:tcPr>
          <w:p>
            <w:pPr>
              <w:spacing w:after="0"/>
            </w:pPr>
            <w:r>
              <w:rPr>
                <w:rFonts w:ascii="Arial" w:hAnsi="Arial"/>
                <w:b/>
                <w:color w:val="059669"/>
                <w:sz w:val="17"/>
              </w:rPr>
              <w:t>92%</w:t>
            </w:r>
          </w:p>
        </w:tc>
        <w:tc>
          <w:tcPr>
            <w:tcW w:type="dxa" w:w="2016"/>
            <w:shd w:fill="FFFFFF"/>
            <w:tcMar>
              <w:top w:w="120" w:type="dxa"/>
              <w:bottom w:w="120" w:type="dxa"/>
              <w:left w:w="100" w:type="dxa"/>
              <w:right w:w="100" w:type="dxa"/>
            </w:tcMar>
          </w:tcPr>
          <w:p>
            <w:pPr>
              <w:spacing w:after="0"/>
            </w:pPr>
            <w:r>
              <w:rPr>
                <w:rFonts w:ascii="Arial" w:hAnsi="Arial"/>
                <w:color w:val="059669"/>
                <w:sz w:val="17"/>
              </w:rPr>
              <w:t>Winning Differentiator</w:t>
              <w:br/>
              <w:t>(True mathematical Pareto optimization)</w:t>
            </w:r>
          </w:p>
        </w:tc>
      </w:tr>
      <w:tr>
        <w:tc>
          <w:tcPr>
            <w:tcW w:type="dxa" w:w="2592"/>
            <w:shd w:fill="F8FAFC"/>
            <w:tcMar>
              <w:top w:w="120" w:type="dxa"/>
              <w:bottom w:w="120" w:type="dxa"/>
              <w:left w:w="100" w:type="dxa"/>
              <w:right w:w="100" w:type="dxa"/>
            </w:tcMar>
          </w:tcPr>
          <w:p>
            <w:pPr>
              <w:spacing w:after="0"/>
            </w:pPr>
            <w:r>
              <w:rPr>
                <w:rFonts w:ascii="Arial" w:hAnsi="Arial"/>
                <w:color w:val="0F172A"/>
                <w:sz w:val="17"/>
              </w:rPr>
              <w:t>5. Resource Placements Testing</w:t>
              <w:br/>
              <w:t>(Explicit PS Requirement)</w:t>
            </w:r>
          </w:p>
        </w:tc>
        <w:tc>
          <w:tcPr>
            <w:tcW w:type="dxa" w:w="4032"/>
            <w:shd w:fill="F8FAFC"/>
            <w:tcMar>
              <w:top w:w="120" w:type="dxa"/>
              <w:bottom w:w="120" w:type="dxa"/>
              <w:left w:w="100" w:type="dxa"/>
              <w:right w:w="100" w:type="dxa"/>
            </w:tcMar>
          </w:tcPr>
          <w:p>
            <w:pPr>
              <w:spacing w:after="0"/>
            </w:pPr>
            <w:r>
              <w:rPr>
                <w:rFonts w:ascii="Arial" w:hAnsi="Arial"/>
                <w:color w:val="DC2626"/>
                <w:sz w:val="17"/>
              </w:rPr>
              <w:t>• 30s Rapid intervention convoy: Fire Squad, Ambulance ALS, Tactical Rescue.</w:t>
              <w:br/>
              <w:t>• Autonomous vehicle staging to nearest ground portal (Exit A/B/C).</w:t>
              <w:br/>
              <w:t>• Missing: In-building placement of extinguishers, AEDs, wardens.</w:t>
            </w:r>
          </w:p>
        </w:tc>
        <w:tc>
          <w:tcPr>
            <w:tcW w:type="dxa" w:w="1152"/>
            <w:shd w:fill="F8FAFC"/>
            <w:tcMar>
              <w:top w:w="120" w:type="dxa"/>
              <w:bottom w:w="120" w:type="dxa"/>
              <w:left w:w="100" w:type="dxa"/>
              <w:right w:w="100" w:type="dxa"/>
            </w:tcMar>
          </w:tcPr>
          <w:p>
            <w:pPr>
              <w:spacing w:after="0"/>
            </w:pPr>
            <w:r>
              <w:rPr>
                <w:rFonts w:ascii="Arial" w:hAnsi="Arial"/>
                <w:b/>
                <w:color w:val="DC2626"/>
                <w:sz w:val="17"/>
              </w:rPr>
              <w:t>68%</w:t>
            </w:r>
          </w:p>
        </w:tc>
        <w:tc>
          <w:tcPr>
            <w:tcW w:type="dxa" w:w="2016"/>
            <w:shd w:fill="F8FAFC"/>
            <w:tcMar>
              <w:top w:w="120" w:type="dxa"/>
              <w:bottom w:w="120" w:type="dxa"/>
              <w:left w:w="100" w:type="dxa"/>
              <w:right w:w="100" w:type="dxa"/>
            </w:tcMar>
          </w:tcPr>
          <w:p>
            <w:pPr>
              <w:spacing w:after="0"/>
            </w:pPr>
            <w:r>
              <w:rPr>
                <w:rFonts w:ascii="Arial" w:hAnsi="Arial"/>
                <w:color w:val="DC2626"/>
                <w:sz w:val="17"/>
              </w:rPr>
              <w:t>Critical Gap</w:t>
              <w:br/>
              <w:t>(Judges will check specifically for resource placement testing)</w:t>
            </w:r>
          </w:p>
        </w:tc>
      </w:tr>
      <w:tr>
        <w:tc>
          <w:tcPr>
            <w:tcW w:type="dxa" w:w="2592"/>
            <w:shd w:fill="FFFFFF"/>
            <w:tcMar>
              <w:top w:w="120" w:type="dxa"/>
              <w:bottom w:w="120" w:type="dxa"/>
              <w:left w:w="100" w:type="dxa"/>
              <w:right w:w="100" w:type="dxa"/>
            </w:tcMar>
          </w:tcPr>
          <w:p>
            <w:pPr>
              <w:spacing w:after="0"/>
            </w:pPr>
            <w:r>
              <w:rPr>
                <w:rFonts w:ascii="Arial" w:hAnsi="Arial"/>
                <w:color w:val="0F172A"/>
                <w:sz w:val="17"/>
              </w:rPr>
              <w:t>6. Cloud Visualization &amp; Decision Support</w:t>
              <w:br/>
              <w:t>(Authority Actionability)</w:t>
            </w:r>
          </w:p>
        </w:tc>
        <w:tc>
          <w:tcPr>
            <w:tcW w:type="dxa" w:w="4032"/>
            <w:shd w:fill="FFFFFF"/>
            <w:tcMar>
              <w:top w:w="120" w:type="dxa"/>
              <w:bottom w:w="120" w:type="dxa"/>
              <w:left w:w="100" w:type="dxa"/>
              <w:right w:w="100" w:type="dxa"/>
            </w:tcMar>
          </w:tcPr>
          <w:p>
            <w:pPr>
              <w:spacing w:after="0"/>
            </w:pPr>
            <w:r>
              <w:rPr>
                <w:rFonts w:ascii="Arial" w:hAnsi="Arial"/>
                <w:color w:val="059669"/>
                <w:sz w:val="17"/>
              </w:rPr>
              <w:t>• Zero-install 60 FPS WebGL / Three.js digital twin.</w:t>
              <w:br/>
              <w:t>• Gemini LLM + Heuristic Safety Analyst for Incident Commander briefings.</w:t>
              <w:br/>
              <w:t>• Synthetic CCTV multiviewer with simulated vision bounding boxes.</w:t>
              <w:br/>
              <w:t>• Printable NFPA evacuation audit report.</w:t>
            </w:r>
          </w:p>
        </w:tc>
        <w:tc>
          <w:tcPr>
            <w:tcW w:type="dxa" w:w="1152"/>
            <w:shd w:fill="FFFFFF"/>
            <w:tcMar>
              <w:top w:w="120" w:type="dxa"/>
              <w:bottom w:w="120" w:type="dxa"/>
              <w:left w:w="100" w:type="dxa"/>
              <w:right w:w="100" w:type="dxa"/>
            </w:tcMar>
          </w:tcPr>
          <w:p>
            <w:pPr>
              <w:spacing w:after="0"/>
            </w:pPr>
            <w:r>
              <w:rPr>
                <w:rFonts w:ascii="Arial" w:hAnsi="Arial"/>
                <w:b/>
                <w:color w:val="059669"/>
                <w:sz w:val="17"/>
              </w:rPr>
              <w:t>90%</w:t>
            </w:r>
          </w:p>
        </w:tc>
        <w:tc>
          <w:tcPr>
            <w:tcW w:type="dxa" w:w="2016"/>
            <w:shd w:fill="FFFFFF"/>
            <w:tcMar>
              <w:top w:w="120" w:type="dxa"/>
              <w:bottom w:w="120" w:type="dxa"/>
              <w:left w:w="100" w:type="dxa"/>
              <w:right w:w="100" w:type="dxa"/>
            </w:tcMar>
          </w:tcPr>
          <w:p>
            <w:pPr>
              <w:spacing w:after="0"/>
            </w:pPr>
            <w:r>
              <w:rPr>
                <w:rFonts w:ascii="Arial" w:hAnsi="Arial"/>
                <w:color w:val="059669"/>
                <w:sz w:val="17"/>
              </w:rPr>
              <w:t>Very High</w:t>
              <w:br/>
              <w:t>(Executive-grade UI, real-time telemetry, live siren audio)</w:t>
            </w:r>
          </w:p>
        </w:tc>
      </w:tr>
      <w:tr>
        <w:tc>
          <w:tcPr>
            <w:tcW w:type="dxa" w:w="2592"/>
            <w:shd w:fill="F8FAFC"/>
            <w:tcMar>
              <w:top w:w="120" w:type="dxa"/>
              <w:bottom w:w="120" w:type="dxa"/>
              <w:left w:w="100" w:type="dxa"/>
              <w:right w:w="100" w:type="dxa"/>
            </w:tcMar>
          </w:tcPr>
          <w:p>
            <w:pPr>
              <w:spacing w:after="0"/>
            </w:pPr>
            <w:r>
              <w:rPr>
                <w:rFonts w:ascii="Arial" w:hAnsi="Arial"/>
                <w:color w:val="0F172A"/>
                <w:sz w:val="17"/>
              </w:rPr>
              <w:t>7. Public Space Scalability</w:t>
              <w:br/>
              <w:t>(Campuses &amp; Varied Facilities)</w:t>
            </w:r>
          </w:p>
        </w:tc>
        <w:tc>
          <w:tcPr>
            <w:tcW w:type="dxa" w:w="4032"/>
            <w:shd w:fill="F8FAFC"/>
            <w:tcMar>
              <w:top w:w="120" w:type="dxa"/>
              <w:bottom w:w="120" w:type="dxa"/>
              <w:left w:w="100" w:type="dxa"/>
              <w:right w:w="100" w:type="dxa"/>
            </w:tcMar>
          </w:tcPr>
          <w:p>
            <w:pPr>
              <w:spacing w:after="0"/>
            </w:pPr>
            <w:r>
              <w:rPr>
                <w:rFonts w:ascii="Arial" w:hAnsi="Arial"/>
                <w:color w:val="334155"/>
                <w:sz w:val="17"/>
              </w:rPr>
              <w:t>• Modular 10-storey commercial office layout.</w:t>
              <w:br/>
              <w:t>• Campus master site with multi-district future expansion plots.</w:t>
              <w:br/>
              <w:t>• Missing: Quick toggle showcasing a second infrastructure topology.</w:t>
            </w:r>
          </w:p>
        </w:tc>
        <w:tc>
          <w:tcPr>
            <w:tcW w:type="dxa" w:w="1152"/>
            <w:shd w:fill="F8FAFC"/>
            <w:tcMar>
              <w:top w:w="120" w:type="dxa"/>
              <w:bottom w:w="120" w:type="dxa"/>
              <w:left w:w="100" w:type="dxa"/>
              <w:right w:w="100" w:type="dxa"/>
            </w:tcMar>
          </w:tcPr>
          <w:p>
            <w:pPr>
              <w:spacing w:after="0"/>
            </w:pPr>
            <w:r>
              <w:rPr>
                <w:rFonts w:ascii="Arial" w:hAnsi="Arial"/>
                <w:b/>
                <w:color w:val="334155"/>
                <w:sz w:val="17"/>
              </w:rPr>
              <w:t>70%</w:t>
            </w:r>
          </w:p>
        </w:tc>
        <w:tc>
          <w:tcPr>
            <w:tcW w:type="dxa" w:w="2016"/>
            <w:shd w:fill="F8FAFC"/>
            <w:tcMar>
              <w:top w:w="120" w:type="dxa"/>
              <w:bottom w:w="120" w:type="dxa"/>
              <w:left w:w="100" w:type="dxa"/>
              <w:right w:w="100" w:type="dxa"/>
            </w:tcMar>
          </w:tcPr>
          <w:p>
            <w:pPr>
              <w:spacing w:after="0"/>
            </w:pPr>
            <w:r>
              <w:rPr>
                <w:rFonts w:ascii="Arial" w:hAnsi="Arial"/>
                <w:color w:val="334155"/>
                <w:sz w:val="17"/>
              </w:rPr>
              <w:t>Moderate Gap</w:t>
              <w:br/>
              <w:t>(Needed to prove platform universality across infrastructure)</w:t>
            </w:r>
          </w:p>
        </w:tc>
      </w:tr>
    </w:tbl>
    <w:p>
      <w:pPr>
        <w:spacing w:after="160"/>
      </w:pPr>
    </w:p>
    <w:p>
      <w:pPr>
        <w:spacing w:before="320" w:after="120"/>
      </w:pPr>
      <w:r>
        <w:rPr>
          <w:rFonts w:ascii="Arial" w:hAnsi="Arial"/>
          <w:b/>
          <w:color w:val="0F172A"/>
          <w:sz w:val="28"/>
        </w:rPr>
        <w:t>4. Existing Standout Assets &amp; Competitive Advantages</w:t>
      </w:r>
    </w:p>
    <w:p>
      <w:pPr>
        <w:spacing w:before="60" w:after="60"/>
      </w:pPr>
      <w:r>
        <w:rPr>
          <w:rFonts w:ascii="Arial" w:hAnsi="Arial"/>
          <w:b/>
          <w:color w:val="0F172A"/>
          <w:sz w:val="19"/>
        </w:rPr>
        <w:t xml:space="preserve">✔ Generalized Multi-Floor Dynamic Egress Logic (Cases I, II, III): </w:t>
      </w:r>
      <w:r>
        <w:rPr>
          <w:rFonts w:ascii="Arial" w:hAnsi="Arial"/>
          <w:color w:val="334155"/>
          <w:sz w:val="19"/>
        </w:rPr>
        <w:t>Ground floor multi-gate dynamic routing (West, East, Front); Level 10 top floor localized hazard bypass; and Levels 2-9 middle floor corridor crossover routing where upper occupants descend to the floor immediately above the fire, cross through the central corridor, bypass the hazard flight, and safely redistribute below.</w:t>
      </w:r>
    </w:p>
    <w:p>
      <w:pPr>
        <w:spacing w:before="60" w:after="60"/>
      </w:pPr>
      <w:r>
        <w:rPr>
          <w:rFonts w:ascii="Arial" w:hAnsi="Arial"/>
          <w:b/>
          <w:color w:val="0F172A"/>
          <w:sz w:val="19"/>
        </w:rPr>
        <w:t xml:space="preserve">✔ Master AI Strategy Ranker (TOPSIS &amp; Pareto Optimization): </w:t>
      </w:r>
      <w:r>
        <w:rPr>
          <w:rFonts w:ascii="Arial" w:hAnsi="Arial"/>
          <w:color w:val="334155"/>
          <w:sz w:val="19"/>
        </w:rPr>
        <w:t>Headless Monte Carlo simulation engine that evaluates thousands of occupant-seconds headlessly in under 30ms. Uses Multi-Criteria Decision Making (MCDM) with TOPSIS Euclidean distance to identify the Pareto-optimal life-safety strategy based on clearance time, peak crush density, and cumulative smoke inhalation risk.</w:t>
      </w:r>
    </w:p>
    <w:p>
      <w:pPr>
        <w:spacing w:before="60" w:after="60"/>
      </w:pPr>
      <w:r>
        <w:rPr>
          <w:rFonts w:ascii="Arial" w:hAnsi="Arial"/>
          <w:b/>
          <w:color w:val="0F172A"/>
          <w:sz w:val="19"/>
        </w:rPr>
        <w:t xml:space="preserve">✔ Autonomous 30-Second Rapid Intervention Vehicle Convoy: </w:t>
      </w:r>
      <w:r>
        <w:rPr>
          <w:rFonts w:ascii="Arial" w:hAnsi="Arial"/>
          <w:color w:val="334155"/>
          <w:sz w:val="19"/>
        </w:rPr>
        <w:t>Three distinct real-time 3D tactical support vehicles (Fire Engine Tactical Pumper, ALS Ambulance Medic 1, Incident Command Rescue 1) dispatched automatically to the ground gate nearest the fire with a strict NFPA 1710 30-second timeline, audible siren alarm, and perimeter staging.</w:t>
      </w:r>
    </w:p>
    <w:p>
      <w:pPr>
        <w:spacing w:before="60" w:after="60"/>
      </w:pPr>
      <w:r>
        <w:rPr>
          <w:rFonts w:ascii="Arial" w:hAnsi="Arial"/>
          <w:b/>
          <w:color w:val="0F172A"/>
          <w:sz w:val="19"/>
        </w:rPr>
        <w:t xml:space="preserve">✔ Single-Cycle Evacuation Invariant &amp; Permanent Safe Muster: </w:t>
      </w:r>
      <w:r>
        <w:rPr>
          <w:rFonts w:ascii="Arial" w:hAnsi="Arial"/>
          <w:color w:val="334155"/>
          <w:sz w:val="19"/>
        </w:rPr>
        <w:t>Robust state machine ensuring evacuated occupants safely gather outside in designated muster zones without looping or re-entering the building when fires spread. Occupants only return to office desks when the user explicitly clicks the Reset button.</w:t>
      </w:r>
    </w:p>
    <w:p>
      <w:pPr>
        <w:spacing w:before="60" w:after="60"/>
      </w:pPr>
      <w:r>
        <w:rPr>
          <w:rFonts w:ascii="Arial" w:hAnsi="Arial"/>
          <w:b/>
          <w:color w:val="0F172A"/>
          <w:sz w:val="19"/>
        </w:rPr>
        <w:t xml:space="preserve">✔ BIM Layer Filtering &amp; CCTV Synthetic Vision: </w:t>
      </w:r>
      <w:r>
        <w:rPr>
          <w:rFonts w:ascii="Arial" w:hAnsi="Arial"/>
          <w:color w:val="334155"/>
          <w:sz w:val="19"/>
        </w:rPr>
        <w:t>Real-time toggleable architectural BIM layers (HVAC ducts, plumbing, electrical conduits, structural columns, furniture) and simulated CCTV camera multiviewer displaying thermal and crowd bounding boxes.</w:t>
      </w:r>
    </w:p>
    <w:p>
      <w:pPr>
        <w:spacing w:before="320" w:after="120"/>
      </w:pPr>
      <w:r>
        <w:rPr>
          <w:rFonts w:ascii="Arial" w:hAnsi="Arial"/>
          <w:b/>
          <w:color w:val="0F172A"/>
          <w:sz w:val="28"/>
        </w:rPr>
        <w:t>5. Critical Gap Analysis: What Judges Will Scrutinize</w:t>
      </w:r>
    </w:p>
    <w:p>
      <w:pPr>
        <w:spacing w:before="80" w:after="80"/>
      </w:pPr>
      <w:r>
        <w:rPr>
          <w:rFonts w:ascii="Arial" w:hAnsi="Arial"/>
          <w:b/>
          <w:color w:val="DC2626"/>
          <w:sz w:val="20"/>
        </w:rPr>
        <w:t>⚠ Gap 1: In-Building 'Resource Placements' Testing (Explicit in Problem Statement)</w:t>
        <w:br/>
      </w:r>
      <w:r>
        <w:rPr>
          <w:rFonts w:ascii="Arial" w:hAnsi="Arial"/>
          <w:color w:val="334155"/>
          <w:sz w:val="19"/>
        </w:rPr>
        <w:t>The Problem Statement explicitly requires: 'Planners can test multiple response strategies, exit routes, and resource placements'. Currently, external emergency vehicles stage at ground gates, but planners cannot yet click and place internal safety resources (Fire Extinguishers, AED Kits, Safety Wardens) on specific floors to see how placing a warden at a stair entrance reduces panic delay and improves the AI strategy score.</w:t>
      </w:r>
    </w:p>
    <w:p>
      <w:pPr>
        <w:spacing w:before="80" w:after="80"/>
      </w:pPr>
      <w:r>
        <w:rPr>
          <w:rFonts w:ascii="Arial" w:hAnsi="Arial"/>
          <w:b/>
          <w:color w:val="DC2626"/>
          <w:sz w:val="20"/>
        </w:rPr>
        <w:t>⚠ Gap 2: Interactive Geospatial GIS Integration</w:t>
        <w:br/>
      </w:r>
      <w:r>
        <w:rPr>
          <w:rFonts w:ascii="Arial" w:hAnsi="Arial"/>
          <w:color w:val="334155"/>
          <w:sz w:val="19"/>
        </w:rPr>
        <w:t>The prompt calls for combining GIS data with building layouts. Currently, TwinGuard AI features real GPS coordinates (28.5355° N, 77.3910° E), address metadata, and a static GIS map modal. Incorporating a live interactive Leaflet/OpenStreetMap widget with campus geofencing and municipal fire station ingress routes will directly fulfill the GIS expectation.</w:t>
      </w:r>
    </w:p>
    <w:p>
      <w:pPr>
        <w:spacing w:before="80" w:after="80"/>
      </w:pPr>
      <w:r>
        <w:rPr>
          <w:rFonts w:ascii="Arial" w:hAnsi="Arial"/>
          <w:b/>
          <w:color w:val="DC2626"/>
          <w:sz w:val="20"/>
        </w:rPr>
        <w:t>⚠ Gap 3: In-Situ 3D Crowd Density Heatmap Overlay</w:t>
        <w:br/>
      </w:r>
      <w:r>
        <w:rPr>
          <w:rFonts w:ascii="Arial" w:hAnsi="Arial"/>
          <w:color w:val="334155"/>
          <w:sz w:val="19"/>
        </w:rPr>
        <w:t>While 2D bottleneck flow gauges exist in the sidebar, judges love seeing dynamic heatmaps projected directly onto the 3D floor plan (green -&gt; yellow -&gt; red gradient on floor slabs or color-coding agents by local density) to visually pinpoint dangerous doorway crush zones in real-time 3D.</w:t>
      </w:r>
    </w:p>
    <w:p>
      <w:pPr>
        <w:spacing w:before="80" w:after="80"/>
      </w:pPr>
      <w:r>
        <w:rPr>
          <w:rFonts w:ascii="Arial" w:hAnsi="Arial"/>
          <w:b/>
          <w:color w:val="DC2626"/>
          <w:sz w:val="20"/>
        </w:rPr>
        <w:t>⚠ Gap 4: Demonstrable Scalability Across Public Infrastructure Types</w:t>
        <w:br/>
      </w:r>
      <w:r>
        <w:rPr>
          <w:rFonts w:ascii="Arial" w:hAnsi="Arial"/>
          <w:color w:val="334155"/>
          <w:sz w:val="19"/>
        </w:rPr>
        <w:t>The prompt concludes: 'can be scaled to different types of buildings and public spaces'. TwinGuard AI is currently focused on an office tower. Adding a quick 'Facility Switcher' (e.g. Horizon Commercial Tower vs. Metro Transit Hub vs. General Hospital Complex) will prove platform universality to judges.</w:t>
      </w:r>
    </w:p>
    <w:p>
      <w:pPr>
        <w:spacing w:before="320" w:after="120"/>
      </w:pPr>
      <w:r>
        <w:rPr>
          <w:rFonts w:ascii="Arial" w:hAnsi="Arial"/>
          <w:b/>
          <w:color w:val="0F172A"/>
          <w:sz w:val="28"/>
        </w:rPr>
        <w:t>6. Strategic Winning Roadmap: Priority Action Matrix</w:t>
      </w:r>
    </w:p>
    <w:tbl>
      <w:tblPr>
        <w:tblW w:type="auto" w:w="0"/>
        <w:jc w:val="center"/>
        <w:tblLayout w:type="fixed"/>
        <w:tblLook w:firstColumn="1" w:firstRow="1" w:lastColumn="0" w:lastRow="0" w:noHBand="0" w:noVBand="1" w:val="04A0"/>
      </w:tblPr>
      <w:tblGrid>
        <w:gridCol w:w="9792"/>
      </w:tblGrid>
      <w:tr>
        <w:tc>
          <w:tcPr>
            <w:tcW w:type="dxa" w:w="9792"/>
            <w:shd w:fill="F0FDF4"/>
            <w:tcMar>
              <w:top w:w="160" w:type="dxa"/>
              <w:bottom w:w="160" w:type="dxa"/>
              <w:left w:w="220" w:type="dxa"/>
              <w:right w:w="180" w:type="dxa"/>
            </w:tcMar>
            <w:tcBorders>
              <w:top w:val="none"/>
              <w:left w:val="single" w:sz="24" w:space="0" w:color="059669"/>
              <w:bottom w:val="none"/>
              <w:right w:val="none"/>
            </w:tcBorders>
          </w:tcPr>
          <w:p>
            <w:pPr>
              <w:spacing w:before="0" w:after="80"/>
            </w:pPr>
            <w:r>
              <w:rPr>
                <w:rFonts w:ascii="Arial" w:hAnsi="Arial"/>
                <w:b/>
                <w:color w:val="0F172A"/>
                <w:sz w:val="21"/>
              </w:rPr>
              <w:t>📌 EXECUTION ROADMAP FOR 1ST PLACE</w:t>
              <w:br/>
            </w:r>
          </w:p>
          <w:p>
            <w:pPr>
              <w:spacing w:before="40" w:after="40"/>
            </w:pPr>
            <w:r>
              <w:rPr>
                <w:rFonts w:ascii="Arial" w:hAnsi="Arial"/>
                <w:color w:val="334155"/>
                <w:sz w:val="19"/>
              </w:rPr>
              <w:t>Phase 1 (P0 - Critical for 100% PS Alignment):</w:t>
            </w:r>
          </w:p>
          <w:p>
            <w:pPr>
              <w:spacing w:before="40" w:after="40"/>
            </w:pPr>
            <w:r>
              <w:rPr>
                <w:rFonts w:ascii="Arial" w:hAnsi="Arial"/>
                <w:color w:val="334155"/>
                <w:sz w:val="19"/>
              </w:rPr>
              <w:t>• Interactive Resource Placement Sandbox: Allow planners to place Emergency Wardens, Mobile Extinguishers, and AED stations on floors, showing quantifiable clearance time improvements.</w:t>
            </w:r>
          </w:p>
          <w:p>
            <w:pPr>
              <w:spacing w:before="40" w:after="40"/>
            </w:pPr>
            <w:r>
              <w:rPr>
                <w:rFonts w:ascii="Arial" w:hAnsi="Arial"/>
                <w:color w:val="334155"/>
                <w:sz w:val="19"/>
              </w:rPr>
              <w:t>• 3D In-Situ Crowd Density Heatmap: Toggleable heatmap visualizer highlighting localized Fruin Level-of-Service congestion zones directly in the 3D view.</w:t>
            </w:r>
          </w:p>
          <w:p>
            <w:pPr>
              <w:spacing w:before="40" w:after="40"/>
            </w:pPr>
            <w:r>
              <w:rPr>
                <w:rFonts w:ascii="Arial" w:hAnsi="Arial"/>
                <w:color w:val="334155"/>
                <w:sz w:val="19"/>
              </w:rPr>
              <w:t>Phase 2 (P1 - Major Technical Differentiators):</w:t>
            </w:r>
          </w:p>
          <w:p>
            <w:pPr>
              <w:spacing w:before="40" w:after="40"/>
            </w:pPr>
            <w:r>
              <w:rPr>
                <w:rFonts w:ascii="Arial" w:hAnsi="Arial"/>
                <w:color w:val="334155"/>
                <w:sz w:val="19"/>
              </w:rPr>
              <w:t>• Interactive GIS Geospatial View: Live OpenStreetMap/Leaflet mini-map displaying campus geofence and city emergency response routes.</w:t>
            </w:r>
          </w:p>
          <w:p>
            <w:pPr>
              <w:spacing w:before="40" w:after="40"/>
            </w:pPr>
            <w:r>
              <w:rPr>
                <w:rFonts w:ascii="Arial" w:hAnsi="Arial"/>
                <w:color w:val="334155"/>
                <w:sz w:val="19"/>
              </w:rPr>
              <w:t>• Multi-Facility Infrastructure Selector: Dropdown allowing one-click preview of different infrastructure topologies (Commercial Tower, Metro Transit Station, Hospital Egress).</w:t>
            </w:r>
          </w:p>
          <w:p>
            <w:pPr>
              <w:spacing w:before="40" w:after="0"/>
            </w:pPr>
            <w:r>
              <w:rPr>
                <w:rFonts w:ascii="Arial" w:hAnsi="Arial"/>
                <w:color w:val="334155"/>
                <w:sz w:val="19"/>
              </w:rPr>
              <w:t>• Printable Incident Commander PDF Audit: One-click export of tactical briefings and NFPA life safety audits.</w:t>
            </w:r>
          </w:p>
        </w:tc>
      </w:tr>
    </w:tbl>
    <w:p>
      <w:pPr>
        <w:spacing w:before="320" w:after="120"/>
      </w:pPr>
      <w:r>
        <w:rPr>
          <w:rFonts w:ascii="Arial" w:hAnsi="Arial"/>
          <w:b/>
          <w:color w:val="0F172A"/>
          <w:sz w:val="28"/>
        </w:rPr>
        <w:t>7. Hackathon Judges Pitching Strategy &amp; Winning Script</w:t>
      </w:r>
    </w:p>
    <w:p>
      <w:pPr>
        <w:spacing w:before="80" w:after="80"/>
      </w:pPr>
      <w:r>
        <w:rPr>
          <w:rFonts w:ascii="Arial" w:hAnsi="Arial"/>
          <w:b/>
          <w:color w:val="1D4ED8"/>
          <w:sz w:val="20"/>
        </w:rPr>
        <w:t>1. The Problem Hook:</w:t>
        <w:br/>
      </w:r>
      <w:r>
        <w:rPr>
          <w:rFonts w:ascii="Arial" w:hAnsi="Arial"/>
          <w:i/>
          <w:color w:val="334155"/>
          <w:sz w:val="19"/>
        </w:rPr>
        <w:t>"Traditional emergency preparedness relies on static green exit signs and annual fire drills. When real crises strike, human panic causes fatal bottleneck stampedes while uncompromised exits remain empty. Municipal emergency planners lack a data-driven tool to test egress plans before lives are lost."</w:t>
      </w:r>
    </w:p>
    <w:p>
      <w:pPr>
        <w:spacing w:before="80" w:after="80"/>
      </w:pPr>
      <w:r>
        <w:rPr>
          <w:rFonts w:ascii="Arial" w:hAnsi="Arial"/>
          <w:b/>
          <w:color w:val="1D4ED8"/>
          <w:sz w:val="20"/>
        </w:rPr>
        <w:t>2. The Digital Twin Solution:</w:t>
        <w:br/>
      </w:r>
      <w:r>
        <w:rPr>
          <w:rFonts w:ascii="Arial" w:hAnsi="Arial"/>
          <w:i/>
          <w:color w:val="334155"/>
          <w:sz w:val="19"/>
        </w:rPr>
        <w:t>"TwinGuard AI bridges static infrastructure and dynamic crisis response. We developed an AI-enabled 3D Digital Twin that integrates 10-storey BIM layouts, microscopic human behavioral physics, and real-time IoT telemetry."</w:t>
      </w:r>
    </w:p>
    <w:p>
      <w:pPr>
        <w:spacing w:before="80" w:after="80"/>
      </w:pPr>
      <w:r>
        <w:rPr>
          <w:rFonts w:ascii="Arial" w:hAnsi="Arial"/>
          <w:b/>
          <w:color w:val="1D4ED8"/>
          <w:sz w:val="20"/>
        </w:rPr>
        <w:t>3. The AI Core (Your Crown Jewel):</w:t>
        <w:br/>
      </w:r>
      <w:r>
        <w:rPr>
          <w:rFonts w:ascii="Arial" w:hAnsi="Arial"/>
          <w:i/>
          <w:color w:val="334155"/>
          <w:sz w:val="19"/>
        </w:rPr>
        <w:t>"Unlike simple animations, our engine executes multi-scenario Monte Carlo simulations in under 30 milliseconds. Using MCDM TOPSIS multi-attribute ranking, the AI dynamically evaluates clearance times, crush densities, and cumulative smoke exposure to recommend the Pareto-optimal egress strategy in real time."</w:t>
      </w:r>
    </w:p>
    <w:p>
      <w:pPr>
        <w:spacing w:before="80" w:after="80"/>
      </w:pPr>
      <w:r>
        <w:rPr>
          <w:rFonts w:ascii="Arial" w:hAnsi="Arial"/>
          <w:b/>
          <w:color w:val="1D4ED8"/>
          <w:sz w:val="20"/>
        </w:rPr>
        <w:t>4. The Scalable Vision:</w:t>
        <w:br/>
      </w:r>
      <w:r>
        <w:rPr>
          <w:rFonts w:ascii="Arial" w:hAnsi="Arial"/>
          <w:i/>
          <w:color w:val="334155"/>
          <w:sz w:val="19"/>
        </w:rPr>
        <w:t>"TwinGuard AI scales from high-rise office towers to 40-hectare smart campuses and municipal public transit networks, providing authorities and incident commanders with actionable tactical intelligence within the critical 30-second intervention window."</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