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ackground w:color="C2D69B" w:themeColor="accent3" w:themeTint="99"/>
  <w:body>
    <w:p w:rsidR="008471E3" w:rsidRPr="00517501" w:rsidRDefault="00B318E8" w:rsidP="00B318E8">
      <w:pPr>
        <w:jc w:val="center"/>
        <w:rPr>
          <w:rFonts w:ascii="Times New Roman" w:hAnsi="Times New Roman" w:cs="Times New Roman"/>
          <w:b/>
          <w:sz w:val="48"/>
          <w:szCs w:val="48"/>
          <w:highlight w:val="green"/>
          <w:u w:val="single"/>
        </w:rPr>
      </w:pPr>
      <w:proofErr w:type="gramStart"/>
      <w:r w:rsidRPr="00517501">
        <w:rPr>
          <w:rFonts w:ascii="Times New Roman" w:hAnsi="Times New Roman" w:cs="Times New Roman"/>
          <w:b/>
          <w:sz w:val="48"/>
          <w:szCs w:val="48"/>
          <w:highlight w:val="green"/>
          <w:u w:val="single"/>
        </w:rPr>
        <w:t>Nifty100  Project</w:t>
      </w:r>
      <w:proofErr w:type="gramEnd"/>
      <w:r w:rsidRPr="00517501">
        <w:rPr>
          <w:rFonts w:ascii="Times New Roman" w:hAnsi="Times New Roman" w:cs="Times New Roman"/>
          <w:b/>
          <w:sz w:val="48"/>
          <w:szCs w:val="48"/>
          <w:highlight w:val="green"/>
          <w:u w:val="single"/>
        </w:rPr>
        <w:t xml:space="preserve">  Business  Insights</w:t>
      </w:r>
    </w:p>
    <w:p w:rsidR="00B318E8" w:rsidRPr="00517501" w:rsidRDefault="00B318E8" w:rsidP="00B318E8">
      <w:pPr>
        <w:jc w:val="center"/>
        <w:rPr>
          <w:rFonts w:ascii="Times New Roman" w:hAnsi="Times New Roman" w:cs="Times New Roman"/>
          <w:b/>
          <w:sz w:val="48"/>
          <w:szCs w:val="48"/>
          <w:u w:val="single"/>
        </w:rPr>
      </w:pPr>
      <w:proofErr w:type="gramStart"/>
      <w:r w:rsidRPr="00517501">
        <w:rPr>
          <w:rFonts w:ascii="Times New Roman" w:hAnsi="Times New Roman" w:cs="Times New Roman"/>
          <w:b/>
          <w:sz w:val="48"/>
          <w:szCs w:val="48"/>
          <w:highlight w:val="green"/>
          <w:u w:val="single"/>
        </w:rPr>
        <w:t>DASHBOARDS  INSIGHTS</w:t>
      </w:r>
      <w:proofErr w:type="gramEnd"/>
    </w:p>
    <w:p w:rsidR="00B318E8" w:rsidRDefault="00B318E8"/>
    <w:p w:rsidR="00B318E8" w:rsidRPr="00517501" w:rsidRDefault="00B318E8">
      <w:pPr>
        <w:rPr>
          <w:rFonts w:ascii="Times New Roman" w:hAnsi="Times New Roman" w:cs="Times New Roman"/>
          <w:b/>
          <w:sz w:val="28"/>
          <w:szCs w:val="28"/>
        </w:rPr>
      </w:pPr>
      <w:r w:rsidRPr="00517501">
        <w:rPr>
          <w:rFonts w:ascii="Times New Roman" w:hAnsi="Times New Roman" w:cs="Times New Roman"/>
          <w:b/>
          <w:sz w:val="28"/>
          <w:szCs w:val="28"/>
          <w:highlight w:val="yellow"/>
        </w:rPr>
        <w:t>Page 1 — Executive Overview Insights:-</w:t>
      </w:r>
    </w:p>
    <w:p w:rsidR="00517501" w:rsidRDefault="00517501">
      <w:pPr>
        <w:rPr>
          <w:rFonts w:ascii="Times New Roman" w:hAnsi="Times New Roman" w:cs="Times New Roman"/>
        </w:rPr>
      </w:pPr>
    </w:p>
    <w:p w:rsidR="00B318E8" w:rsidRPr="00B318E8" w:rsidRDefault="00B318E8" w:rsidP="00B318E8">
      <w:pPr>
        <w:rPr>
          <w:rFonts w:ascii="Times New Roman" w:hAnsi="Times New Roman" w:cs="Times New Roman"/>
        </w:rPr>
      </w:pPr>
      <w:r w:rsidRPr="00B318E8">
        <w:rPr>
          <w:rFonts w:ascii="Times New Roman" w:hAnsi="Times New Roman" w:cs="Times New Roman"/>
        </w:rPr>
        <w:t>• 45 companies fall under the MODERATE financial health category, indicating balan</w:t>
      </w:r>
      <w:r>
        <w:rPr>
          <w:rFonts w:ascii="Times New Roman" w:hAnsi="Times New Roman" w:cs="Times New Roman"/>
        </w:rPr>
        <w:t>ced but improvable performance.</w:t>
      </w:r>
    </w:p>
    <w:p w:rsidR="00B318E8" w:rsidRPr="00B318E8" w:rsidRDefault="00B318E8" w:rsidP="00B318E8">
      <w:pPr>
        <w:rPr>
          <w:rFonts w:ascii="Times New Roman" w:hAnsi="Times New Roman" w:cs="Times New Roman"/>
        </w:rPr>
      </w:pPr>
      <w:r w:rsidRPr="00B318E8">
        <w:rPr>
          <w:rFonts w:ascii="Times New Roman" w:hAnsi="Times New Roman" w:cs="Times New Roman"/>
        </w:rPr>
        <w:t>• Strong-rated companies maintain significantly lower debt ratios a</w:t>
      </w:r>
      <w:r>
        <w:rPr>
          <w:rFonts w:ascii="Times New Roman" w:hAnsi="Times New Roman" w:cs="Times New Roman"/>
        </w:rPr>
        <w:t>nd higher profitability scores.</w:t>
      </w:r>
    </w:p>
    <w:p w:rsidR="00B318E8" w:rsidRPr="00B318E8" w:rsidRDefault="00B318E8" w:rsidP="00B318E8">
      <w:pPr>
        <w:rPr>
          <w:rFonts w:ascii="Times New Roman" w:hAnsi="Times New Roman" w:cs="Times New Roman"/>
        </w:rPr>
      </w:pPr>
      <w:r w:rsidRPr="00B318E8">
        <w:rPr>
          <w:rFonts w:ascii="Times New Roman" w:hAnsi="Times New Roman" w:cs="Times New Roman"/>
        </w:rPr>
        <w:t>• Weak-rated companies generally show high leverage an</w:t>
      </w:r>
      <w:r>
        <w:rPr>
          <w:rFonts w:ascii="Times New Roman" w:hAnsi="Times New Roman" w:cs="Times New Roman"/>
        </w:rPr>
        <w:t>d unstable cash flow positions.</w:t>
      </w:r>
    </w:p>
    <w:p w:rsidR="00B318E8" w:rsidRPr="00B318E8" w:rsidRDefault="00B318E8" w:rsidP="00B318E8">
      <w:pPr>
        <w:rPr>
          <w:rFonts w:ascii="Times New Roman" w:hAnsi="Times New Roman" w:cs="Times New Roman"/>
        </w:rPr>
      </w:pPr>
      <w:r w:rsidRPr="00B318E8">
        <w:rPr>
          <w:rFonts w:ascii="Times New Roman" w:hAnsi="Times New Roman" w:cs="Times New Roman"/>
        </w:rPr>
        <w:t>• The average ML health score of 75.78 suggests an overall stable market c</w:t>
      </w:r>
      <w:r>
        <w:rPr>
          <w:rFonts w:ascii="Times New Roman" w:hAnsi="Times New Roman" w:cs="Times New Roman"/>
        </w:rPr>
        <w:t>ondition across Nifty100 firms.</w:t>
      </w:r>
    </w:p>
    <w:p w:rsidR="00B318E8" w:rsidRDefault="00B318E8" w:rsidP="00B318E8">
      <w:pPr>
        <w:rPr>
          <w:rFonts w:ascii="Times New Roman" w:hAnsi="Times New Roman" w:cs="Times New Roman"/>
        </w:rPr>
      </w:pPr>
      <w:r w:rsidRPr="00B318E8">
        <w:rPr>
          <w:rFonts w:ascii="Times New Roman" w:hAnsi="Times New Roman" w:cs="Times New Roman"/>
        </w:rPr>
        <w:t>• Debt-to-equity ratio shows a strong inverse relationship with overall financial health.</w:t>
      </w:r>
    </w:p>
    <w:p w:rsidR="00517501" w:rsidRPr="00B318E8" w:rsidRDefault="00517501" w:rsidP="00B318E8">
      <w:pPr>
        <w:rPr>
          <w:rFonts w:ascii="Times New Roman" w:hAnsi="Times New Roman" w:cs="Times New Roman"/>
        </w:rPr>
      </w:pPr>
    </w:p>
    <w:p w:rsidR="00B318E8" w:rsidRDefault="00B318E8">
      <w:r>
        <w:rPr>
          <w:noProof/>
        </w:rPr>
        <w:drawing>
          <wp:inline distT="0" distB="0" distL="0" distR="0">
            <wp:extent cx="6123842" cy="3797742"/>
            <wp:effectExtent l="19050" t="0" r="0" b="0"/>
            <wp:docPr id="1" name="Picture 0" descr="01_Executive_Overview_Dashboar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1_Executive_Overview_Dashboard.png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140407" cy="3808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17501" w:rsidRDefault="00517501" w:rsidP="00517501">
      <w:pPr>
        <w:rPr>
          <w:rFonts w:ascii="Times New Roman" w:hAnsi="Times New Roman" w:cs="Times New Roman"/>
          <w:b/>
          <w:sz w:val="28"/>
          <w:szCs w:val="28"/>
        </w:rPr>
      </w:pPr>
      <w:r w:rsidRPr="00517501">
        <w:rPr>
          <w:rFonts w:ascii="Times New Roman" w:hAnsi="Times New Roman" w:cs="Times New Roman"/>
          <w:b/>
          <w:sz w:val="28"/>
          <w:szCs w:val="28"/>
          <w:highlight w:val="yellow"/>
        </w:rPr>
        <w:lastRenderedPageBreak/>
        <w:t>Page 2 — Profitability &amp; Growth Insights:-</w:t>
      </w:r>
    </w:p>
    <w:p w:rsidR="00517501" w:rsidRDefault="00517501" w:rsidP="00517501">
      <w:pPr>
        <w:rPr>
          <w:rFonts w:ascii="Times New Roman" w:hAnsi="Times New Roman" w:cs="Times New Roman"/>
          <w:b/>
          <w:sz w:val="28"/>
          <w:szCs w:val="28"/>
        </w:rPr>
      </w:pPr>
    </w:p>
    <w:p w:rsidR="00517501" w:rsidRPr="00517501" w:rsidRDefault="00517501" w:rsidP="00517501">
      <w:pPr>
        <w:rPr>
          <w:rFonts w:ascii="Times New Roman" w:hAnsi="Times New Roman" w:cs="Times New Roman"/>
        </w:rPr>
      </w:pPr>
      <w:r w:rsidRPr="00517501">
        <w:rPr>
          <w:rFonts w:ascii="Times New Roman" w:hAnsi="Times New Roman" w:cs="Times New Roman"/>
        </w:rPr>
        <w:t>• Strong-rated companies maintain the highest average profit margins, reflecting efficient operational performance.</w:t>
      </w:r>
    </w:p>
    <w:p w:rsidR="00517501" w:rsidRPr="00517501" w:rsidRDefault="00517501" w:rsidP="00517501">
      <w:pPr>
        <w:rPr>
          <w:rFonts w:ascii="Times New Roman" w:hAnsi="Times New Roman" w:cs="Times New Roman"/>
        </w:rPr>
      </w:pPr>
      <w:r w:rsidRPr="00517501">
        <w:rPr>
          <w:rFonts w:ascii="Times New Roman" w:hAnsi="Times New Roman" w:cs="Times New Roman"/>
        </w:rPr>
        <w:t>• Several firms continue to operate with extremely high expense ratios, which may negatively impact long-term profitability.</w:t>
      </w:r>
    </w:p>
    <w:p w:rsidR="00517501" w:rsidRPr="00517501" w:rsidRDefault="00517501" w:rsidP="00517501">
      <w:pPr>
        <w:rPr>
          <w:rFonts w:ascii="Times New Roman" w:hAnsi="Times New Roman" w:cs="Times New Roman"/>
        </w:rPr>
      </w:pPr>
      <w:r w:rsidRPr="00517501">
        <w:rPr>
          <w:rFonts w:ascii="Times New Roman" w:hAnsi="Times New Roman" w:cs="Times New Roman"/>
        </w:rPr>
        <w:t>• Around 25 companies maintain profit margins above 20%, indicating strong earnings efficiency.</w:t>
      </w:r>
    </w:p>
    <w:p w:rsidR="00517501" w:rsidRPr="00517501" w:rsidRDefault="00517501" w:rsidP="00517501">
      <w:pPr>
        <w:rPr>
          <w:rFonts w:ascii="Times New Roman" w:hAnsi="Times New Roman" w:cs="Times New Roman"/>
        </w:rPr>
      </w:pPr>
      <w:r w:rsidRPr="00517501">
        <w:rPr>
          <w:rFonts w:ascii="Times New Roman" w:hAnsi="Times New Roman" w:cs="Times New Roman"/>
        </w:rPr>
        <w:t xml:space="preserve">• Bajaj Holdings &amp; Investment Ltd and </w:t>
      </w:r>
      <w:proofErr w:type="spellStart"/>
      <w:r w:rsidRPr="00517501">
        <w:rPr>
          <w:rFonts w:ascii="Times New Roman" w:hAnsi="Times New Roman" w:cs="Times New Roman"/>
        </w:rPr>
        <w:t>Jio</w:t>
      </w:r>
      <w:proofErr w:type="spellEnd"/>
      <w:r w:rsidRPr="00517501">
        <w:rPr>
          <w:rFonts w:ascii="Times New Roman" w:hAnsi="Times New Roman" w:cs="Times New Roman"/>
        </w:rPr>
        <w:t xml:space="preserve"> Financial Services demonstrate exceptionally high profitability margins.</w:t>
      </w:r>
    </w:p>
    <w:p w:rsidR="00517501" w:rsidRDefault="00517501" w:rsidP="00517501">
      <w:pPr>
        <w:rPr>
          <w:rFonts w:ascii="Times New Roman" w:hAnsi="Times New Roman" w:cs="Times New Roman"/>
        </w:rPr>
      </w:pPr>
      <w:r w:rsidRPr="00517501">
        <w:rPr>
          <w:rFonts w:ascii="Times New Roman" w:hAnsi="Times New Roman" w:cs="Times New Roman"/>
        </w:rPr>
        <w:t>• Companies with lower expense ratios generally achieve stronger net profit margins and better financial stability.</w:t>
      </w:r>
    </w:p>
    <w:p w:rsidR="00517501" w:rsidRDefault="00517501" w:rsidP="00517501">
      <w:pPr>
        <w:rPr>
          <w:rFonts w:ascii="Times New Roman" w:hAnsi="Times New Roman" w:cs="Times New Roman"/>
        </w:rPr>
      </w:pPr>
    </w:p>
    <w:p w:rsidR="00517501" w:rsidRDefault="00517501" w:rsidP="0051750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>
            <wp:extent cx="5940865" cy="4513385"/>
            <wp:effectExtent l="19050" t="0" r="2735" b="0"/>
            <wp:docPr id="2" name="Picture 1" descr="02_Profitability &amp; Growth_Analysis_Dashboar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2_Profitability &amp; Growth_Analysis_Dashboard.png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154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17501" w:rsidRDefault="00517501" w:rsidP="00517501">
      <w:pPr>
        <w:rPr>
          <w:rFonts w:ascii="Times New Roman" w:hAnsi="Times New Roman" w:cs="Times New Roman"/>
        </w:rPr>
      </w:pPr>
    </w:p>
    <w:p w:rsidR="00517501" w:rsidRDefault="00517501" w:rsidP="00517501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  <w:highlight w:val="yellow"/>
        </w:rPr>
        <w:lastRenderedPageBreak/>
        <w:t>Page 3</w:t>
      </w:r>
      <w:r w:rsidRPr="00517501">
        <w:rPr>
          <w:rFonts w:ascii="Times New Roman" w:hAnsi="Times New Roman" w:cs="Times New Roman"/>
          <w:b/>
          <w:sz w:val="28"/>
          <w:szCs w:val="28"/>
          <w:highlight w:val="yellow"/>
        </w:rPr>
        <w:t xml:space="preserve"> — </w:t>
      </w:r>
      <w:r>
        <w:rPr>
          <w:rFonts w:ascii="Times New Roman" w:hAnsi="Times New Roman" w:cs="Times New Roman"/>
          <w:b/>
          <w:sz w:val="28"/>
          <w:szCs w:val="28"/>
          <w:highlight w:val="yellow"/>
        </w:rPr>
        <w:t xml:space="preserve">Debt &amp; </w:t>
      </w:r>
      <w:proofErr w:type="spellStart"/>
      <w:r>
        <w:rPr>
          <w:rFonts w:ascii="Times New Roman" w:hAnsi="Times New Roman" w:cs="Times New Roman"/>
          <w:b/>
          <w:sz w:val="28"/>
          <w:szCs w:val="28"/>
          <w:highlight w:val="yellow"/>
        </w:rPr>
        <w:t>Cashflow</w:t>
      </w:r>
      <w:proofErr w:type="spellEnd"/>
      <w:r>
        <w:rPr>
          <w:rFonts w:ascii="Times New Roman" w:hAnsi="Times New Roman" w:cs="Times New Roman"/>
          <w:b/>
          <w:sz w:val="28"/>
          <w:szCs w:val="28"/>
          <w:highlight w:val="yellow"/>
        </w:rPr>
        <w:t xml:space="preserve"> Risk</w:t>
      </w:r>
      <w:r w:rsidRPr="00517501">
        <w:rPr>
          <w:rFonts w:ascii="Times New Roman" w:hAnsi="Times New Roman" w:cs="Times New Roman"/>
          <w:b/>
          <w:sz w:val="28"/>
          <w:szCs w:val="28"/>
          <w:highlight w:val="yellow"/>
        </w:rPr>
        <w:t xml:space="preserve"> Insights:-</w:t>
      </w:r>
    </w:p>
    <w:p w:rsidR="00517501" w:rsidRDefault="00517501" w:rsidP="00517501">
      <w:pPr>
        <w:rPr>
          <w:rFonts w:ascii="Times New Roman" w:hAnsi="Times New Roman" w:cs="Times New Roman"/>
          <w:b/>
          <w:sz w:val="28"/>
          <w:szCs w:val="28"/>
        </w:rPr>
      </w:pPr>
    </w:p>
    <w:p w:rsidR="00517501" w:rsidRPr="00517501" w:rsidRDefault="00517501" w:rsidP="00517501">
      <w:pPr>
        <w:rPr>
          <w:rFonts w:ascii="Times New Roman" w:hAnsi="Times New Roman" w:cs="Times New Roman"/>
        </w:rPr>
      </w:pPr>
      <w:r w:rsidRPr="00517501">
        <w:rPr>
          <w:rFonts w:ascii="Times New Roman" w:hAnsi="Times New Roman" w:cs="Times New Roman"/>
        </w:rPr>
        <w:t>• Weak-rated companies consistently exhibit higher debt-to-equity ratios, indicating elevated financial risk exposure.</w:t>
      </w:r>
    </w:p>
    <w:p w:rsidR="00517501" w:rsidRPr="00517501" w:rsidRDefault="00517501" w:rsidP="00517501">
      <w:pPr>
        <w:rPr>
          <w:rFonts w:ascii="Times New Roman" w:hAnsi="Times New Roman" w:cs="Times New Roman"/>
        </w:rPr>
      </w:pPr>
      <w:r w:rsidRPr="00517501">
        <w:rPr>
          <w:rFonts w:ascii="Times New Roman" w:hAnsi="Times New Roman" w:cs="Times New Roman"/>
        </w:rPr>
        <w:t>• Several firms maintain negative free cash flow positions despite reporting positive profitability figures.</w:t>
      </w:r>
    </w:p>
    <w:p w:rsidR="00517501" w:rsidRPr="00517501" w:rsidRDefault="00517501" w:rsidP="00517501">
      <w:pPr>
        <w:rPr>
          <w:rFonts w:ascii="Times New Roman" w:hAnsi="Times New Roman" w:cs="Times New Roman"/>
        </w:rPr>
      </w:pPr>
      <w:r w:rsidRPr="00517501">
        <w:rPr>
          <w:rFonts w:ascii="Times New Roman" w:hAnsi="Times New Roman" w:cs="Times New Roman"/>
        </w:rPr>
        <w:t>• Companies with lower debt burdens generally maintain healthier cash flow stability and stronger ML health scores.</w:t>
      </w:r>
    </w:p>
    <w:p w:rsidR="00517501" w:rsidRPr="00517501" w:rsidRDefault="00517501" w:rsidP="00517501">
      <w:pPr>
        <w:rPr>
          <w:rFonts w:ascii="Times New Roman" w:hAnsi="Times New Roman" w:cs="Times New Roman"/>
        </w:rPr>
      </w:pPr>
      <w:r w:rsidRPr="00517501">
        <w:rPr>
          <w:rFonts w:ascii="Times New Roman" w:hAnsi="Times New Roman" w:cs="Times New Roman"/>
        </w:rPr>
        <w:t>• Financially stable companies demonstrate balanced leverage and sustainable liquidity positions across operations.</w:t>
      </w:r>
    </w:p>
    <w:p w:rsidR="00517501" w:rsidRDefault="00517501" w:rsidP="00517501">
      <w:pPr>
        <w:rPr>
          <w:rFonts w:ascii="Times New Roman" w:hAnsi="Times New Roman" w:cs="Times New Roman"/>
        </w:rPr>
      </w:pPr>
      <w:r w:rsidRPr="00517501">
        <w:rPr>
          <w:rFonts w:ascii="Times New Roman" w:hAnsi="Times New Roman" w:cs="Times New Roman"/>
        </w:rPr>
        <w:t>• High debt dependency combined with weak cash generation may create long-term solvency and operational risks.</w:t>
      </w:r>
    </w:p>
    <w:p w:rsidR="00517501" w:rsidRDefault="00517501" w:rsidP="00517501">
      <w:pPr>
        <w:rPr>
          <w:rFonts w:ascii="Times New Roman" w:hAnsi="Times New Roman" w:cs="Times New Roman"/>
        </w:rPr>
      </w:pPr>
    </w:p>
    <w:p w:rsidR="00517501" w:rsidRDefault="00517501" w:rsidP="0051750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>
            <wp:extent cx="5942135" cy="4396154"/>
            <wp:effectExtent l="19050" t="0" r="1465" b="0"/>
            <wp:docPr id="3" name="Picture 2" descr="03_Debt &amp; Cashflow_Risk Analysis_Dashboar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3_Debt &amp; Cashflow_Risk Analysis_Dashboard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97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17501" w:rsidRDefault="00517501" w:rsidP="00517501">
      <w:pPr>
        <w:rPr>
          <w:rFonts w:ascii="Times New Roman" w:hAnsi="Times New Roman" w:cs="Times New Roman"/>
        </w:rPr>
      </w:pPr>
    </w:p>
    <w:p w:rsidR="00517501" w:rsidRDefault="00517501" w:rsidP="00517501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  <w:highlight w:val="yellow"/>
        </w:rPr>
        <w:lastRenderedPageBreak/>
        <w:t>Page 4</w:t>
      </w:r>
      <w:r w:rsidRPr="00517501">
        <w:rPr>
          <w:rFonts w:ascii="Times New Roman" w:hAnsi="Times New Roman" w:cs="Times New Roman"/>
          <w:b/>
          <w:sz w:val="28"/>
          <w:szCs w:val="28"/>
          <w:highlight w:val="yellow"/>
        </w:rPr>
        <w:t xml:space="preserve"> — </w:t>
      </w:r>
      <w:r w:rsidR="00190804">
        <w:rPr>
          <w:rFonts w:ascii="Times New Roman" w:hAnsi="Times New Roman" w:cs="Times New Roman"/>
          <w:b/>
          <w:sz w:val="28"/>
          <w:szCs w:val="28"/>
          <w:highlight w:val="yellow"/>
        </w:rPr>
        <w:t>ML Health Scoring</w:t>
      </w:r>
      <w:r w:rsidRPr="00517501">
        <w:rPr>
          <w:rFonts w:ascii="Times New Roman" w:hAnsi="Times New Roman" w:cs="Times New Roman"/>
          <w:b/>
          <w:sz w:val="28"/>
          <w:szCs w:val="28"/>
          <w:highlight w:val="yellow"/>
        </w:rPr>
        <w:t xml:space="preserve"> Insights:-</w:t>
      </w:r>
    </w:p>
    <w:p w:rsidR="00190804" w:rsidRDefault="00190804" w:rsidP="00517501">
      <w:pPr>
        <w:rPr>
          <w:rFonts w:ascii="Times New Roman" w:hAnsi="Times New Roman" w:cs="Times New Roman"/>
          <w:b/>
          <w:sz w:val="28"/>
          <w:szCs w:val="28"/>
        </w:rPr>
      </w:pPr>
    </w:p>
    <w:p w:rsidR="00190804" w:rsidRPr="00190804" w:rsidRDefault="00190804" w:rsidP="00190804">
      <w:pPr>
        <w:rPr>
          <w:rFonts w:ascii="Times New Roman" w:hAnsi="Times New Roman" w:cs="Times New Roman"/>
        </w:rPr>
      </w:pPr>
      <w:r w:rsidRPr="00190804">
        <w:rPr>
          <w:rFonts w:ascii="Times New Roman" w:hAnsi="Times New Roman" w:cs="Times New Roman"/>
        </w:rPr>
        <w:t>• The ML-based health scoring model classifies companies into Strong, Moderate, and Weak financial categories using profitability, debt, cash flow, and expense efficiency metrics.</w:t>
      </w:r>
    </w:p>
    <w:p w:rsidR="00190804" w:rsidRPr="00190804" w:rsidRDefault="00190804" w:rsidP="00190804">
      <w:pPr>
        <w:rPr>
          <w:rFonts w:ascii="Times New Roman" w:hAnsi="Times New Roman" w:cs="Times New Roman"/>
        </w:rPr>
      </w:pPr>
      <w:r w:rsidRPr="00190804">
        <w:rPr>
          <w:rFonts w:ascii="Times New Roman" w:hAnsi="Times New Roman" w:cs="Times New Roman"/>
        </w:rPr>
        <w:t>• Approximately 45 companies fall under the Moderate category, indicating balanced but improvable financial performance.</w:t>
      </w:r>
    </w:p>
    <w:p w:rsidR="00190804" w:rsidRPr="00190804" w:rsidRDefault="00190804" w:rsidP="00190804">
      <w:pPr>
        <w:rPr>
          <w:rFonts w:ascii="Times New Roman" w:hAnsi="Times New Roman" w:cs="Times New Roman"/>
        </w:rPr>
      </w:pPr>
      <w:r w:rsidRPr="00190804">
        <w:rPr>
          <w:rFonts w:ascii="Times New Roman" w:hAnsi="Times New Roman" w:cs="Times New Roman"/>
        </w:rPr>
        <w:t>• Strong-rated companies consistently achieve higher profitability scores while maintaining lower leverage and healthier cash flow positions.</w:t>
      </w:r>
    </w:p>
    <w:p w:rsidR="00190804" w:rsidRPr="00190804" w:rsidRDefault="00190804" w:rsidP="00190804">
      <w:pPr>
        <w:rPr>
          <w:rFonts w:ascii="Times New Roman" w:hAnsi="Times New Roman" w:cs="Times New Roman"/>
        </w:rPr>
      </w:pPr>
      <w:r w:rsidRPr="00190804">
        <w:rPr>
          <w:rFonts w:ascii="Times New Roman" w:hAnsi="Times New Roman" w:cs="Times New Roman"/>
        </w:rPr>
        <w:t>• Weak-rated firms generally demonstrate high debt exposure, unstable liquidity, or weaker operational efficiency metrics.</w:t>
      </w:r>
    </w:p>
    <w:p w:rsidR="00190804" w:rsidRDefault="00190804" w:rsidP="00190804">
      <w:pPr>
        <w:rPr>
          <w:rFonts w:ascii="Times New Roman" w:hAnsi="Times New Roman" w:cs="Times New Roman"/>
        </w:rPr>
      </w:pPr>
      <w:r w:rsidRPr="00190804">
        <w:rPr>
          <w:rFonts w:ascii="Times New Roman" w:hAnsi="Times New Roman" w:cs="Times New Roman"/>
        </w:rPr>
        <w:t>• Feature contribution analysis highlights profitability and debt management as the strongest drivers influencing overall financial health scores.</w:t>
      </w:r>
    </w:p>
    <w:p w:rsidR="00190804" w:rsidRDefault="00190804" w:rsidP="00190804">
      <w:pPr>
        <w:rPr>
          <w:rFonts w:ascii="Times New Roman" w:hAnsi="Times New Roman" w:cs="Times New Roman"/>
        </w:rPr>
      </w:pPr>
    </w:p>
    <w:p w:rsidR="00517501" w:rsidRDefault="00190804" w:rsidP="0051750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>
            <wp:extent cx="5939595" cy="3856892"/>
            <wp:effectExtent l="19050" t="0" r="4005" b="0"/>
            <wp:docPr id="4" name="Picture 3" descr="04_ML_Health scoring Analysis Dashboar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4_ML_Health scoring Analysis Dashboard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594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C09DB" w:rsidRDefault="00FC09DB" w:rsidP="00517501">
      <w:pPr>
        <w:rPr>
          <w:rFonts w:ascii="Times New Roman" w:hAnsi="Times New Roman" w:cs="Times New Roman"/>
        </w:rPr>
      </w:pPr>
    </w:p>
    <w:p w:rsidR="00FC09DB" w:rsidRDefault="00FC09DB" w:rsidP="00517501">
      <w:pPr>
        <w:rPr>
          <w:rFonts w:ascii="Times New Roman" w:hAnsi="Times New Roman" w:cs="Times New Roman"/>
        </w:rPr>
      </w:pPr>
    </w:p>
    <w:p w:rsidR="00FC09DB" w:rsidRDefault="0056169F" w:rsidP="00FC09DB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  <w:highlight w:val="yellow"/>
        </w:rPr>
        <w:lastRenderedPageBreak/>
        <w:t>Page 5</w:t>
      </w:r>
      <w:r w:rsidR="00FC09DB" w:rsidRPr="00517501">
        <w:rPr>
          <w:rFonts w:ascii="Times New Roman" w:hAnsi="Times New Roman" w:cs="Times New Roman"/>
          <w:b/>
          <w:sz w:val="28"/>
          <w:szCs w:val="28"/>
          <w:highlight w:val="yellow"/>
        </w:rPr>
        <w:t xml:space="preserve"> — </w:t>
      </w:r>
      <w:r w:rsidR="00FC09DB">
        <w:rPr>
          <w:rFonts w:ascii="Times New Roman" w:hAnsi="Times New Roman" w:cs="Times New Roman"/>
          <w:b/>
          <w:sz w:val="28"/>
          <w:szCs w:val="28"/>
          <w:highlight w:val="yellow"/>
        </w:rPr>
        <w:t>Advanced Final Score</w:t>
      </w:r>
      <w:r w:rsidR="00FC09DB" w:rsidRPr="00517501">
        <w:rPr>
          <w:rFonts w:ascii="Times New Roman" w:hAnsi="Times New Roman" w:cs="Times New Roman"/>
          <w:b/>
          <w:sz w:val="28"/>
          <w:szCs w:val="28"/>
          <w:highlight w:val="yellow"/>
        </w:rPr>
        <w:t xml:space="preserve"> Insights:-</w:t>
      </w:r>
    </w:p>
    <w:p w:rsidR="0056169F" w:rsidRDefault="0056169F" w:rsidP="00FC09DB">
      <w:pPr>
        <w:rPr>
          <w:rFonts w:ascii="Times New Roman" w:hAnsi="Times New Roman" w:cs="Times New Roman"/>
          <w:b/>
          <w:sz w:val="28"/>
          <w:szCs w:val="28"/>
        </w:rPr>
      </w:pPr>
    </w:p>
    <w:p w:rsidR="0056169F" w:rsidRDefault="0056169F" w:rsidP="0056169F">
      <w:pPr>
        <w:pStyle w:val="NormalWeb"/>
      </w:pPr>
      <w:r>
        <w:t>• The average overall financial health score across Nifty100 companies is 75.78, indicating generally stable financial performance among large-cap Indian companies.</w:t>
      </w:r>
    </w:p>
    <w:p w:rsidR="0056169F" w:rsidRDefault="0056169F" w:rsidP="0056169F">
      <w:pPr>
        <w:pStyle w:val="NormalWeb"/>
      </w:pPr>
      <w:r>
        <w:t>• Strong-rated companies consistently achieve higher profitability, leverage stability, and long-term financial trend scores compared to weak-rated companies.</w:t>
      </w:r>
    </w:p>
    <w:p w:rsidR="0056169F" w:rsidRDefault="0056169F" w:rsidP="0056169F">
      <w:pPr>
        <w:pStyle w:val="NormalWeb"/>
      </w:pPr>
      <w:r>
        <w:t xml:space="preserve">• Companies such as </w:t>
      </w:r>
      <w:proofErr w:type="spellStart"/>
      <w:r>
        <w:t>Adani</w:t>
      </w:r>
      <w:proofErr w:type="spellEnd"/>
      <w:r>
        <w:t xml:space="preserve"> Ports, Bajaj Holdings, Coal India, and </w:t>
      </w:r>
      <w:proofErr w:type="spellStart"/>
      <w:r>
        <w:t>Jio</w:t>
      </w:r>
      <w:proofErr w:type="spellEnd"/>
      <w:r>
        <w:t xml:space="preserve"> Financial Services achieved the highest overall financial scores in the analysis.</w:t>
      </w:r>
    </w:p>
    <w:p w:rsidR="0056169F" w:rsidRDefault="0056169F" w:rsidP="0056169F">
      <w:pPr>
        <w:pStyle w:val="NormalWeb"/>
      </w:pPr>
      <w:r>
        <w:t>• The score composition analysis highlights that profitability and leverage management are the most influential components in determining overall company health</w:t>
      </w:r>
    </w:p>
    <w:p w:rsidR="0056169F" w:rsidRDefault="0056169F" w:rsidP="0056169F">
      <w:pPr>
        <w:pStyle w:val="NormalWeb"/>
      </w:pPr>
    </w:p>
    <w:p w:rsidR="00FC09DB" w:rsidRDefault="0056169F" w:rsidP="00FC09DB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noProof/>
          <w:sz w:val="28"/>
          <w:szCs w:val="28"/>
        </w:rPr>
        <w:drawing>
          <wp:inline distT="0" distB="0" distL="0" distR="0">
            <wp:extent cx="5942135" cy="4425461"/>
            <wp:effectExtent l="19050" t="0" r="1465" b="0"/>
            <wp:docPr id="5" name="Picture 4" descr="05_Advance Financial score Analysis_Dashboar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5_Advance Financial score Analysis_Dashboard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265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6169F" w:rsidRDefault="0056169F" w:rsidP="00FC09DB">
      <w:pPr>
        <w:rPr>
          <w:rFonts w:ascii="Times New Roman" w:hAnsi="Times New Roman" w:cs="Times New Roman"/>
          <w:b/>
          <w:sz w:val="28"/>
          <w:szCs w:val="28"/>
        </w:rPr>
      </w:pPr>
    </w:p>
    <w:p w:rsidR="0056169F" w:rsidRDefault="0056169F" w:rsidP="0056169F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  <w:highlight w:val="yellow"/>
        </w:rPr>
        <w:lastRenderedPageBreak/>
        <w:t>Page 6</w:t>
      </w:r>
      <w:r w:rsidRPr="00517501">
        <w:rPr>
          <w:rFonts w:ascii="Times New Roman" w:hAnsi="Times New Roman" w:cs="Times New Roman"/>
          <w:b/>
          <w:sz w:val="28"/>
          <w:szCs w:val="28"/>
          <w:highlight w:val="yellow"/>
        </w:rPr>
        <w:t xml:space="preserve"> — </w:t>
      </w:r>
      <w:r>
        <w:rPr>
          <w:rFonts w:ascii="Times New Roman" w:hAnsi="Times New Roman" w:cs="Times New Roman"/>
          <w:b/>
          <w:sz w:val="28"/>
          <w:szCs w:val="28"/>
          <w:highlight w:val="yellow"/>
        </w:rPr>
        <w:t>Company Deep Dive</w:t>
      </w:r>
      <w:r w:rsidRPr="00517501">
        <w:rPr>
          <w:rFonts w:ascii="Times New Roman" w:hAnsi="Times New Roman" w:cs="Times New Roman"/>
          <w:b/>
          <w:sz w:val="28"/>
          <w:szCs w:val="28"/>
          <w:highlight w:val="yellow"/>
        </w:rPr>
        <w:t xml:space="preserve"> Insights:-</w:t>
      </w:r>
    </w:p>
    <w:p w:rsidR="0056169F" w:rsidRDefault="0056169F" w:rsidP="0056169F">
      <w:pPr>
        <w:pStyle w:val="NormalWeb"/>
      </w:pPr>
      <w:r>
        <w:t>• The selected company demonstrates a balanced financial profile through profitability, leverage management, cash flow generation, and overall financial stability indicators.</w:t>
      </w:r>
    </w:p>
    <w:p w:rsidR="0056169F" w:rsidRDefault="0056169F" w:rsidP="0056169F">
      <w:pPr>
        <w:pStyle w:val="NormalWeb"/>
      </w:pPr>
      <w:r>
        <w:t>• Companies with higher overall financial scores generally maintain stronger profit margins, healthier debt structures, and more consistent cash flow performance.</w:t>
      </w:r>
    </w:p>
    <w:p w:rsidR="0056169F" w:rsidRDefault="0056169F" w:rsidP="0056169F">
      <w:pPr>
        <w:pStyle w:val="NormalWeb"/>
      </w:pPr>
      <w:r>
        <w:t>• The financial score breakdown helps identify the strongest and weakest operational areas for the selected company, supporting deeper business analysis.</w:t>
      </w:r>
    </w:p>
    <w:p w:rsidR="0056169F" w:rsidRDefault="0056169F" w:rsidP="0056169F">
      <w:pPr>
        <w:pStyle w:val="NormalWeb"/>
      </w:pPr>
      <w:r>
        <w:t>• Positive free cash flow and stable profitability trends indicate stronger long-term sustainability and operational efficiency.</w:t>
      </w:r>
    </w:p>
    <w:p w:rsidR="0056169F" w:rsidRDefault="0056169F" w:rsidP="0056169F">
      <w:pPr>
        <w:pStyle w:val="NormalWeb"/>
      </w:pPr>
      <w:r>
        <w:t>• The dashboard enables investors and analysts to evaluate company-level financial strength dynamically using advanced ML-driven scoring metrics and financial ratios.</w:t>
      </w:r>
    </w:p>
    <w:p w:rsidR="0056169F" w:rsidRDefault="0056169F" w:rsidP="0056169F">
      <w:pPr>
        <w:pStyle w:val="NormalWeb"/>
      </w:pPr>
    </w:p>
    <w:p w:rsidR="0056169F" w:rsidRDefault="0056169F" w:rsidP="0056169F">
      <w:pPr>
        <w:pStyle w:val="NormalWeb"/>
      </w:pPr>
      <w:r>
        <w:rPr>
          <w:noProof/>
        </w:rPr>
        <w:drawing>
          <wp:inline distT="0" distB="0" distL="0" distR="0">
            <wp:extent cx="5942135" cy="4267200"/>
            <wp:effectExtent l="19050" t="0" r="1465" b="0"/>
            <wp:docPr id="6" name="Picture 5" descr="06_Deep Dive Analysis Dashboar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6_Deep Dive Analysis Dashboar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682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6169F" w:rsidRDefault="0056169F" w:rsidP="0056169F">
      <w:pPr>
        <w:pStyle w:val="NormalWeb"/>
      </w:pPr>
    </w:p>
    <w:p w:rsidR="0056169F" w:rsidRDefault="0056169F" w:rsidP="0056169F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  <w:highlight w:val="yellow"/>
        </w:rPr>
        <w:lastRenderedPageBreak/>
        <w:t>Page 7</w:t>
      </w:r>
      <w:r w:rsidRPr="00517501">
        <w:rPr>
          <w:rFonts w:ascii="Times New Roman" w:hAnsi="Times New Roman" w:cs="Times New Roman"/>
          <w:b/>
          <w:sz w:val="28"/>
          <w:szCs w:val="28"/>
          <w:highlight w:val="yellow"/>
        </w:rPr>
        <w:t xml:space="preserve"> — </w:t>
      </w:r>
      <w:r>
        <w:rPr>
          <w:rFonts w:ascii="Times New Roman" w:hAnsi="Times New Roman" w:cs="Times New Roman"/>
          <w:b/>
          <w:sz w:val="28"/>
          <w:szCs w:val="28"/>
          <w:highlight w:val="yellow"/>
        </w:rPr>
        <w:t>Sector &amp; Comparative Intelligence</w:t>
      </w:r>
      <w:r w:rsidRPr="00517501">
        <w:rPr>
          <w:rFonts w:ascii="Times New Roman" w:hAnsi="Times New Roman" w:cs="Times New Roman"/>
          <w:b/>
          <w:sz w:val="28"/>
          <w:szCs w:val="28"/>
          <w:highlight w:val="yellow"/>
        </w:rPr>
        <w:t xml:space="preserve"> Insights:-</w:t>
      </w:r>
    </w:p>
    <w:p w:rsidR="0056169F" w:rsidRDefault="0056169F" w:rsidP="0056169F">
      <w:pPr>
        <w:pStyle w:val="NormalWeb"/>
      </w:pPr>
      <w:r>
        <w:t>• The average financial health score across Nifty100 companies is 75.78, reflecting overall stable performance among major Indian sectors and industries.</w:t>
      </w:r>
    </w:p>
    <w:p w:rsidR="0056169F" w:rsidRDefault="0056169F" w:rsidP="0056169F">
      <w:pPr>
        <w:pStyle w:val="NormalWeb"/>
      </w:pPr>
      <w:r>
        <w:t>• IT, FMCG, and Power sectors achieved stronger average financial scores due to better profitability, operational efficiency, and long-term growth stability.</w:t>
      </w:r>
    </w:p>
    <w:p w:rsidR="0056169F" w:rsidRDefault="0056169F" w:rsidP="0056169F">
      <w:pPr>
        <w:pStyle w:val="NormalWeb"/>
      </w:pPr>
      <w:r>
        <w:t>• Strong-rated companies significantly outperform weak-rated companies in growth, leverage management, dividend consistency, and overall financial strength.</w:t>
      </w:r>
    </w:p>
    <w:p w:rsidR="0056169F" w:rsidRDefault="0056169F" w:rsidP="0056169F">
      <w:pPr>
        <w:pStyle w:val="NormalWeb"/>
      </w:pPr>
      <w:r>
        <w:t xml:space="preserve">• The comparative ranking analysis highlights financially strong companies such as </w:t>
      </w:r>
      <w:proofErr w:type="spellStart"/>
      <w:r>
        <w:t>Adani</w:t>
      </w:r>
      <w:proofErr w:type="spellEnd"/>
      <w:r>
        <w:t xml:space="preserve"> Ports, TCS, Infosys, and Bajaj Holdings as sector leaders based on advanced scoring metrics.</w:t>
      </w:r>
    </w:p>
    <w:p w:rsidR="0056169F" w:rsidRDefault="0056169F" w:rsidP="0056169F">
      <w:pPr>
        <w:pStyle w:val="NormalWeb"/>
      </w:pPr>
      <w:r>
        <w:t>• The sector intelligence matrix enables investors and analysts to compare sector-wise financial performance, identify high-performing industries, and evaluate risk-adjusted investment opportunities effectively.</w:t>
      </w:r>
    </w:p>
    <w:p w:rsidR="0056169F" w:rsidRDefault="0056169F" w:rsidP="0056169F">
      <w:pPr>
        <w:pStyle w:val="NormalWeb"/>
      </w:pPr>
    </w:p>
    <w:p w:rsidR="0056169F" w:rsidRDefault="0056169F" w:rsidP="0056169F">
      <w:pPr>
        <w:pStyle w:val="NormalWeb"/>
      </w:pPr>
      <w:r>
        <w:rPr>
          <w:noProof/>
        </w:rPr>
        <w:drawing>
          <wp:inline distT="0" distB="0" distL="0" distR="0">
            <wp:extent cx="5939595" cy="3681046"/>
            <wp:effectExtent l="19050" t="0" r="4005" b="0"/>
            <wp:docPr id="7" name="Picture 6" descr="07_Sector &amp; Comparative Intelligence Analysis Dashboar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7_Sector &amp; Comparative Intelligence Analysis Dashboard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83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17501" w:rsidRPr="00517501" w:rsidRDefault="00517501" w:rsidP="00517501">
      <w:pPr>
        <w:rPr>
          <w:rFonts w:ascii="Times New Roman" w:hAnsi="Times New Roman" w:cs="Times New Roman"/>
        </w:rPr>
      </w:pPr>
    </w:p>
    <w:p w:rsidR="00517501" w:rsidRDefault="00517501"/>
    <w:sectPr w:rsidR="00517501" w:rsidSect="00190804">
      <w:pgSz w:w="12240" w:h="15840"/>
      <w:pgMar w:top="1440" w:right="1440" w:bottom="1440" w:left="1440" w:header="720" w:footer="720" w:gutter="0"/>
      <w:pgBorders w:offsetFrom="page">
        <w:top w:val="thinThickSmallGap" w:sz="24" w:space="24" w:color="auto"/>
        <w:left w:val="thinThickSmallGap" w:sz="24" w:space="24" w:color="auto"/>
        <w:bottom w:val="thinThickSmallGap" w:sz="24" w:space="24" w:color="auto"/>
        <w:right w:val="thinThickSmallGap" w:sz="24" w:space="24" w:color="auto"/>
      </w:pgBorders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displayBackgroundShape/>
  <w:proofState w:spelling="clean" w:grammar="clean"/>
  <w:defaultTabStop w:val="720"/>
  <w:characterSpacingControl w:val="doNotCompress"/>
  <w:compat/>
  <w:rsids>
    <w:rsidRoot w:val="00B318E8"/>
    <w:rsid w:val="00190804"/>
    <w:rsid w:val="00260730"/>
    <w:rsid w:val="00517501"/>
    <w:rsid w:val="0056169F"/>
    <w:rsid w:val="0064073B"/>
    <w:rsid w:val="00B10E37"/>
    <w:rsid w:val="00B318E8"/>
    <w:rsid w:val="00DC2404"/>
    <w:rsid w:val="00EE4B73"/>
    <w:rsid w:val="00FC09D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>
      <o:colormenu v:ext="edit" fillcolor="none [1942]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C240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B318E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318E8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56169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00059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518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175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7</Pages>
  <Words>749</Words>
  <Characters>4273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5012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LENOVO</cp:lastModifiedBy>
  <cp:revision>2</cp:revision>
  <dcterms:created xsi:type="dcterms:W3CDTF">2026-05-16T04:35:00Z</dcterms:created>
  <dcterms:modified xsi:type="dcterms:W3CDTF">2026-05-18T04:45:00Z</dcterms:modified>
</cp:coreProperties>
</file>