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010"/>
        <w:gridCol w:w="3009"/>
        <w:gridCol w:w="3007"/>
      </w:tblGrid>
      <w:tr w:rsidR="00E41AEE" w:rsidRPr="00496665" w14:paraId="3D560671" w14:textId="77777777" w:rsidTr="00C3479C">
        <w:tc>
          <w:tcPr>
            <w:tcW w:w="1667" w:type="pct"/>
          </w:tcPr>
          <w:p w14:paraId="2E488A50" w14:textId="77777777" w:rsidR="00E41AEE" w:rsidRPr="00496665" w:rsidRDefault="00E41AEE" w:rsidP="00BB7326">
            <w:pPr>
              <w:pStyle w:val="Paragraph"/>
              <w:jc w:val="left"/>
              <w:rPr>
                <w:rFonts w:ascii="Times New Roman" w:hAnsi="Times New Roman" w:cs="Times New Roman"/>
                <w:sz w:val="20"/>
              </w:rPr>
            </w:pPr>
            <w:bookmarkStart w:id="0" w:name="_Hlk71903331"/>
            <w:bookmarkStart w:id="1" w:name="_Hlk99799579"/>
            <w:r w:rsidRPr="00496665">
              <w:rPr>
                <w:rFonts w:ascii="Times New Roman" w:hAnsi="Times New Roman" w:cs="Times New Roman"/>
                <w:sz w:val="20"/>
              </w:rPr>
              <w:t> </w:t>
            </w:r>
          </w:p>
        </w:tc>
        <w:tc>
          <w:tcPr>
            <w:tcW w:w="1667" w:type="pct"/>
          </w:tcPr>
          <w:p w14:paraId="2FEEEE7D" w14:textId="77777777" w:rsidR="00E41AEE" w:rsidRPr="00496665" w:rsidRDefault="00E41AEE" w:rsidP="00BB7326">
            <w:pPr>
              <w:pStyle w:val="Paragraph"/>
              <w:jc w:val="right"/>
              <w:rPr>
                <w:rFonts w:ascii="Times New Roman" w:hAnsi="Times New Roman" w:cs="Times New Roman"/>
                <w:sz w:val="20"/>
              </w:rPr>
            </w:pPr>
          </w:p>
        </w:tc>
        <w:tc>
          <w:tcPr>
            <w:tcW w:w="1666" w:type="pct"/>
          </w:tcPr>
          <w:p w14:paraId="7C3FF990" w14:textId="77777777" w:rsidR="00E41AEE" w:rsidRPr="00496665" w:rsidRDefault="00E41AEE" w:rsidP="00BB7326">
            <w:pPr>
              <w:pStyle w:val="Paragraph"/>
              <w:jc w:val="right"/>
              <w:rPr>
                <w:rFonts w:ascii="Times New Roman" w:hAnsi="Times New Roman" w:cs="Times New Roman"/>
                <w:b/>
                <w:sz w:val="20"/>
              </w:rPr>
            </w:pPr>
            <w:r w:rsidRPr="00496665">
              <w:rPr>
                <w:rFonts w:ascii="Times New Roman" w:hAnsi="Times New Roman" w:cs="Times New Roman"/>
                <w:sz w:val="20"/>
              </w:rPr>
              <w:t xml:space="preserve">On behalf of: </w:t>
            </w:r>
            <w:r w:rsidRPr="00496665">
              <w:rPr>
                <w:rFonts w:ascii="Times New Roman" w:hAnsi="Times New Roman" w:cs="Times New Roman"/>
                <w:b/>
                <w:sz w:val="20"/>
              </w:rPr>
              <w:t>Claimant</w:t>
            </w:r>
          </w:p>
        </w:tc>
      </w:tr>
      <w:tr w:rsidR="00E41AEE" w:rsidRPr="00496665" w14:paraId="1ABC51BE" w14:textId="77777777" w:rsidTr="00C3479C">
        <w:tc>
          <w:tcPr>
            <w:tcW w:w="1667" w:type="pct"/>
          </w:tcPr>
          <w:p w14:paraId="28420414" w14:textId="77777777" w:rsidR="00E41AEE" w:rsidRPr="00496665" w:rsidRDefault="00E41AEE" w:rsidP="00BB7326">
            <w:pPr>
              <w:pStyle w:val="Paragraph"/>
              <w:jc w:val="left"/>
              <w:rPr>
                <w:rFonts w:ascii="Times New Roman" w:hAnsi="Times New Roman" w:cs="Times New Roman"/>
                <w:sz w:val="20"/>
              </w:rPr>
            </w:pPr>
          </w:p>
        </w:tc>
        <w:tc>
          <w:tcPr>
            <w:tcW w:w="1667" w:type="pct"/>
          </w:tcPr>
          <w:p w14:paraId="07A343BE" w14:textId="77777777" w:rsidR="00E41AEE" w:rsidRPr="00496665" w:rsidRDefault="00E41AEE" w:rsidP="00BB7326">
            <w:pPr>
              <w:pStyle w:val="Paragraph"/>
              <w:jc w:val="right"/>
              <w:rPr>
                <w:rFonts w:ascii="Times New Roman" w:hAnsi="Times New Roman" w:cs="Times New Roman"/>
                <w:sz w:val="20"/>
              </w:rPr>
            </w:pPr>
          </w:p>
        </w:tc>
        <w:tc>
          <w:tcPr>
            <w:tcW w:w="1666" w:type="pct"/>
          </w:tcPr>
          <w:p w14:paraId="1D6A86A6" w14:textId="46CE1737" w:rsidR="00E41AEE" w:rsidRPr="00EF75E4" w:rsidRDefault="00E41AEE" w:rsidP="00BB7326">
            <w:pPr>
              <w:pStyle w:val="Paragraph"/>
              <w:jc w:val="right"/>
              <w:rPr>
                <w:rFonts w:ascii="Times New Roman" w:hAnsi="Times New Roman"/>
                <w:sz w:val="20"/>
              </w:rPr>
            </w:pPr>
            <w:r w:rsidRPr="00EF75E4">
              <w:rPr>
                <w:rFonts w:ascii="Times New Roman" w:hAnsi="Times New Roman"/>
                <w:sz w:val="20"/>
              </w:rPr>
              <w:t xml:space="preserve">Witness: </w:t>
            </w:r>
            <w:r w:rsidR="009C5919">
              <w:rPr>
                <w:rFonts w:ascii="Times New Roman" w:hAnsi="Times New Roman" w:cs="Times New Roman"/>
                <w:b/>
                <w:bCs/>
                <w:sz w:val="20"/>
              </w:rPr>
              <w:t>Priyanshi Vakharia</w:t>
            </w:r>
          </w:p>
        </w:tc>
      </w:tr>
      <w:tr w:rsidR="00E41AEE" w:rsidRPr="00496665" w14:paraId="1350AC94" w14:textId="77777777" w:rsidTr="00C3479C">
        <w:tc>
          <w:tcPr>
            <w:tcW w:w="1667" w:type="pct"/>
          </w:tcPr>
          <w:p w14:paraId="4598ABC8" w14:textId="77777777" w:rsidR="00E41AEE" w:rsidRPr="00496665" w:rsidRDefault="00E41AEE" w:rsidP="00BB7326">
            <w:pPr>
              <w:pStyle w:val="Paragraph"/>
              <w:jc w:val="left"/>
              <w:rPr>
                <w:rFonts w:ascii="Times New Roman" w:hAnsi="Times New Roman" w:cs="Times New Roman"/>
                <w:sz w:val="20"/>
              </w:rPr>
            </w:pPr>
          </w:p>
        </w:tc>
        <w:tc>
          <w:tcPr>
            <w:tcW w:w="1667" w:type="pct"/>
          </w:tcPr>
          <w:p w14:paraId="0D02F59F" w14:textId="77777777" w:rsidR="00E41AEE" w:rsidRPr="00496665" w:rsidRDefault="00E41AEE" w:rsidP="00BB7326">
            <w:pPr>
              <w:pStyle w:val="Paragraph"/>
              <w:jc w:val="right"/>
              <w:rPr>
                <w:rFonts w:ascii="Times New Roman" w:hAnsi="Times New Roman" w:cs="Times New Roman"/>
                <w:sz w:val="20"/>
              </w:rPr>
            </w:pPr>
          </w:p>
        </w:tc>
        <w:tc>
          <w:tcPr>
            <w:tcW w:w="1666" w:type="pct"/>
          </w:tcPr>
          <w:p w14:paraId="45957FB2" w14:textId="103E6EA2" w:rsidR="00E41AEE" w:rsidRPr="00F629CA" w:rsidRDefault="00E41AEE" w:rsidP="00BB7326">
            <w:pPr>
              <w:pStyle w:val="Paragraph"/>
              <w:jc w:val="right"/>
              <w:rPr>
                <w:rFonts w:ascii="Times New Roman" w:hAnsi="Times New Roman" w:cs="Times New Roman"/>
                <w:sz w:val="20"/>
              </w:rPr>
            </w:pPr>
            <w:r w:rsidRPr="00F629CA">
              <w:rPr>
                <w:rFonts w:ascii="Times New Roman" w:hAnsi="Times New Roman" w:cs="Times New Roman"/>
                <w:sz w:val="20"/>
              </w:rPr>
              <w:t>No</w:t>
            </w:r>
            <w:r w:rsidR="007D4172">
              <w:rPr>
                <w:rFonts w:ascii="Times New Roman" w:hAnsi="Times New Roman" w:cs="Times New Roman"/>
                <w:sz w:val="20"/>
              </w:rPr>
              <w:t>.</w:t>
            </w:r>
            <w:r w:rsidRPr="00F629CA">
              <w:rPr>
                <w:rFonts w:ascii="Times New Roman" w:hAnsi="Times New Roman" w:cs="Times New Roman"/>
                <w:sz w:val="20"/>
              </w:rPr>
              <w:t xml:space="preserve"> of Witness Statement:</w:t>
            </w:r>
            <w:r w:rsidR="00336D21">
              <w:rPr>
                <w:rFonts w:ascii="Times New Roman" w:hAnsi="Times New Roman" w:cs="Times New Roman"/>
                <w:sz w:val="20"/>
              </w:rPr>
              <w:t xml:space="preserve"> </w:t>
            </w:r>
            <w:r w:rsidR="00366385" w:rsidRPr="00DB4929">
              <w:rPr>
                <w:rFonts w:ascii="Times New Roman" w:hAnsi="Times New Roman" w:cs="Times New Roman"/>
                <w:b/>
                <w:bCs/>
                <w:sz w:val="20"/>
              </w:rPr>
              <w:t>First</w:t>
            </w:r>
          </w:p>
        </w:tc>
      </w:tr>
      <w:tr w:rsidR="00E41AEE" w:rsidRPr="00496665" w14:paraId="71C41624" w14:textId="77777777" w:rsidTr="00C3479C">
        <w:tc>
          <w:tcPr>
            <w:tcW w:w="1667" w:type="pct"/>
          </w:tcPr>
          <w:p w14:paraId="18F9663C" w14:textId="77777777" w:rsidR="00E41AEE" w:rsidRPr="00496665" w:rsidRDefault="00E41AEE" w:rsidP="00BB7326">
            <w:pPr>
              <w:pStyle w:val="Paragraph"/>
              <w:jc w:val="left"/>
              <w:rPr>
                <w:rFonts w:ascii="Times New Roman" w:hAnsi="Times New Roman" w:cs="Times New Roman"/>
                <w:sz w:val="20"/>
              </w:rPr>
            </w:pPr>
          </w:p>
        </w:tc>
        <w:tc>
          <w:tcPr>
            <w:tcW w:w="1667" w:type="pct"/>
          </w:tcPr>
          <w:p w14:paraId="32D3D5AD" w14:textId="77777777" w:rsidR="00E41AEE" w:rsidRPr="00496665" w:rsidRDefault="00E41AEE" w:rsidP="00BB7326">
            <w:pPr>
              <w:pStyle w:val="Paragraph"/>
              <w:jc w:val="right"/>
              <w:rPr>
                <w:rFonts w:ascii="Times New Roman" w:hAnsi="Times New Roman" w:cs="Times New Roman"/>
                <w:sz w:val="20"/>
              </w:rPr>
            </w:pPr>
          </w:p>
        </w:tc>
        <w:tc>
          <w:tcPr>
            <w:tcW w:w="1666" w:type="pct"/>
          </w:tcPr>
          <w:p w14:paraId="03B92B70" w14:textId="791C4A34" w:rsidR="00E41AEE" w:rsidRPr="00EF75E4" w:rsidRDefault="00E41AEE" w:rsidP="00BB7326">
            <w:pPr>
              <w:pStyle w:val="Paragraph"/>
              <w:jc w:val="right"/>
              <w:rPr>
                <w:rFonts w:ascii="Times New Roman" w:hAnsi="Times New Roman"/>
                <w:sz w:val="20"/>
              </w:rPr>
            </w:pPr>
            <w:r w:rsidRPr="00EF75E4">
              <w:rPr>
                <w:rFonts w:ascii="Times New Roman" w:hAnsi="Times New Roman"/>
                <w:sz w:val="20"/>
              </w:rPr>
              <w:t xml:space="preserve">Exhibit: </w:t>
            </w:r>
            <w:r w:rsidR="009C5919" w:rsidRPr="00DB4929">
              <w:rPr>
                <w:rFonts w:ascii="Times New Roman" w:hAnsi="Times New Roman"/>
                <w:b/>
                <w:bCs/>
                <w:sz w:val="20"/>
              </w:rPr>
              <w:t>PV</w:t>
            </w:r>
            <w:r w:rsidR="009C5919" w:rsidRPr="00DB4929">
              <w:rPr>
                <w:rFonts w:ascii="Times New Roman" w:hAnsi="Times New Roman" w:cs="Times New Roman"/>
                <w:b/>
                <w:bCs/>
                <w:sz w:val="20"/>
              </w:rPr>
              <w:t>-</w:t>
            </w:r>
            <w:r w:rsidR="00366385" w:rsidRPr="00DB4929">
              <w:rPr>
                <w:rFonts w:ascii="Times New Roman" w:hAnsi="Times New Roman" w:cs="Times New Roman"/>
                <w:b/>
                <w:bCs/>
                <w:sz w:val="20"/>
              </w:rPr>
              <w:t>1</w:t>
            </w:r>
          </w:p>
        </w:tc>
      </w:tr>
      <w:tr w:rsidR="00E41AEE" w:rsidRPr="00496665" w14:paraId="04CA6E29" w14:textId="77777777" w:rsidTr="00C3479C">
        <w:tc>
          <w:tcPr>
            <w:tcW w:w="1667" w:type="pct"/>
          </w:tcPr>
          <w:p w14:paraId="0A925499" w14:textId="77777777" w:rsidR="00E41AEE" w:rsidRPr="00496665" w:rsidRDefault="00E41AEE" w:rsidP="00BB7326">
            <w:pPr>
              <w:pStyle w:val="Paragraph"/>
              <w:jc w:val="left"/>
              <w:rPr>
                <w:rFonts w:ascii="Times New Roman" w:hAnsi="Times New Roman" w:cs="Times New Roman"/>
                <w:sz w:val="20"/>
              </w:rPr>
            </w:pPr>
          </w:p>
        </w:tc>
        <w:tc>
          <w:tcPr>
            <w:tcW w:w="1667" w:type="pct"/>
          </w:tcPr>
          <w:p w14:paraId="2AC42C41" w14:textId="77777777" w:rsidR="00E41AEE" w:rsidRPr="00496665" w:rsidRDefault="00E41AEE" w:rsidP="00BB7326">
            <w:pPr>
              <w:pStyle w:val="Paragraph"/>
              <w:jc w:val="right"/>
              <w:rPr>
                <w:rFonts w:ascii="Times New Roman" w:hAnsi="Times New Roman" w:cs="Times New Roman"/>
                <w:sz w:val="20"/>
              </w:rPr>
            </w:pPr>
          </w:p>
        </w:tc>
        <w:tc>
          <w:tcPr>
            <w:tcW w:w="1666" w:type="pct"/>
          </w:tcPr>
          <w:p w14:paraId="42E275B5" w14:textId="639A4CFF" w:rsidR="00E41AEE" w:rsidRPr="00EF75E4" w:rsidRDefault="00E41AEE" w:rsidP="00BB7326">
            <w:pPr>
              <w:pStyle w:val="Paragraph"/>
              <w:jc w:val="right"/>
              <w:rPr>
                <w:rFonts w:ascii="Times New Roman" w:hAnsi="Times New Roman"/>
                <w:sz w:val="20"/>
              </w:rPr>
            </w:pPr>
            <w:r w:rsidRPr="00EF75E4">
              <w:rPr>
                <w:rFonts w:ascii="Times New Roman" w:hAnsi="Times New Roman"/>
                <w:sz w:val="20"/>
              </w:rPr>
              <w:t xml:space="preserve">Date: </w:t>
            </w:r>
            <w:r w:rsidR="009C5919" w:rsidRPr="00A579E4">
              <w:rPr>
                <w:rFonts w:ascii="Times New Roman" w:hAnsi="Times New Roman" w:cs="Times New Roman"/>
                <w:b/>
                <w:bCs/>
                <w:sz w:val="20"/>
              </w:rPr>
              <w:t>2</w:t>
            </w:r>
            <w:r w:rsidR="001A203D" w:rsidRPr="00A579E4">
              <w:rPr>
                <w:rFonts w:ascii="Times New Roman" w:hAnsi="Times New Roman" w:cs="Times New Roman"/>
                <w:b/>
                <w:bCs/>
                <w:sz w:val="20"/>
              </w:rPr>
              <w:t>6</w:t>
            </w:r>
            <w:r w:rsidR="009C5919" w:rsidRPr="00DB4929">
              <w:rPr>
                <w:rFonts w:ascii="Times New Roman" w:hAnsi="Times New Roman"/>
                <w:b/>
                <w:bCs/>
                <w:sz w:val="20"/>
              </w:rPr>
              <w:t xml:space="preserve"> </w:t>
            </w:r>
            <w:r w:rsidR="00702A4A" w:rsidRPr="00DB4929">
              <w:rPr>
                <w:rFonts w:ascii="Times New Roman" w:hAnsi="Times New Roman"/>
                <w:b/>
                <w:bCs/>
                <w:sz w:val="20"/>
              </w:rPr>
              <w:t>January 202</w:t>
            </w:r>
            <w:r w:rsidR="000704FC" w:rsidRPr="00DB4929">
              <w:rPr>
                <w:rFonts w:ascii="Times New Roman" w:hAnsi="Times New Roman"/>
                <w:b/>
                <w:bCs/>
                <w:sz w:val="20"/>
              </w:rPr>
              <w:t>6</w:t>
            </w:r>
          </w:p>
        </w:tc>
      </w:tr>
      <w:tr w:rsidR="00E41AEE" w:rsidRPr="00496665" w14:paraId="13A9E58B" w14:textId="77777777" w:rsidTr="00C3479C">
        <w:tc>
          <w:tcPr>
            <w:tcW w:w="1667" w:type="pct"/>
          </w:tcPr>
          <w:p w14:paraId="64F0C05B" w14:textId="77777777" w:rsidR="00E41AEE" w:rsidRPr="00496665" w:rsidRDefault="00E41AEE" w:rsidP="00BB7326">
            <w:pPr>
              <w:pStyle w:val="Paragraph"/>
              <w:jc w:val="left"/>
              <w:rPr>
                <w:rFonts w:ascii="Times New Roman" w:hAnsi="Times New Roman" w:cs="Times New Roman"/>
                <w:sz w:val="20"/>
              </w:rPr>
            </w:pPr>
          </w:p>
        </w:tc>
        <w:tc>
          <w:tcPr>
            <w:tcW w:w="1667" w:type="pct"/>
          </w:tcPr>
          <w:p w14:paraId="03105C5F" w14:textId="77777777" w:rsidR="00E41AEE" w:rsidRPr="00496665" w:rsidRDefault="00E41AEE" w:rsidP="00BB7326">
            <w:pPr>
              <w:pStyle w:val="Paragraph"/>
              <w:rPr>
                <w:rFonts w:ascii="Times New Roman" w:hAnsi="Times New Roman" w:cs="Times New Roman"/>
                <w:sz w:val="20"/>
              </w:rPr>
            </w:pPr>
          </w:p>
        </w:tc>
        <w:tc>
          <w:tcPr>
            <w:tcW w:w="1666" w:type="pct"/>
          </w:tcPr>
          <w:p w14:paraId="25B45EE9" w14:textId="77777777" w:rsidR="00E41AEE" w:rsidRPr="00496665" w:rsidRDefault="00E41AEE" w:rsidP="00BB7326">
            <w:pPr>
              <w:pStyle w:val="Paragraph"/>
              <w:jc w:val="right"/>
              <w:rPr>
                <w:rFonts w:ascii="Times New Roman" w:hAnsi="Times New Roman" w:cs="Times New Roman"/>
                <w:sz w:val="20"/>
              </w:rPr>
            </w:pPr>
          </w:p>
        </w:tc>
      </w:tr>
      <w:tr w:rsidR="00E41AEE" w:rsidRPr="00496665" w14:paraId="77F70991" w14:textId="77777777" w:rsidTr="00C3479C">
        <w:tc>
          <w:tcPr>
            <w:tcW w:w="1667" w:type="pct"/>
          </w:tcPr>
          <w:p w14:paraId="77D7C841" w14:textId="78ACF989" w:rsidR="00E41AEE" w:rsidRPr="00812877" w:rsidRDefault="00E41AEE" w:rsidP="00BB7326">
            <w:pPr>
              <w:widowControl w:val="0"/>
              <w:spacing w:line="276" w:lineRule="auto"/>
              <w:jc w:val="left"/>
              <w:rPr>
                <w:rFonts w:eastAsia="Calibri"/>
                <w:b/>
              </w:rPr>
            </w:pPr>
            <w:r w:rsidRPr="00496665">
              <w:rPr>
                <w:rFonts w:eastAsia="Calibri"/>
                <w:b/>
              </w:rPr>
              <w:t>THE DUBAI INTERNATIONAL FINANCIAL CENTRE COURTS</w:t>
            </w:r>
          </w:p>
        </w:tc>
        <w:tc>
          <w:tcPr>
            <w:tcW w:w="1667" w:type="pct"/>
          </w:tcPr>
          <w:p w14:paraId="2C2A5FBF" w14:textId="77777777" w:rsidR="00E41AEE" w:rsidRPr="00496665" w:rsidRDefault="00E41AEE" w:rsidP="00BB7326">
            <w:pPr>
              <w:pStyle w:val="Paragraph"/>
              <w:spacing w:before="120" w:line="360" w:lineRule="auto"/>
              <w:jc w:val="right"/>
              <w:rPr>
                <w:rFonts w:ascii="Times New Roman" w:hAnsi="Times New Roman" w:cs="Times New Roman"/>
                <w:sz w:val="20"/>
              </w:rPr>
            </w:pPr>
          </w:p>
        </w:tc>
        <w:tc>
          <w:tcPr>
            <w:tcW w:w="1666" w:type="pct"/>
          </w:tcPr>
          <w:p w14:paraId="70A7FF38" w14:textId="68E02295" w:rsidR="00E41AEE" w:rsidRPr="00496665" w:rsidRDefault="00E41AEE" w:rsidP="00BB7326">
            <w:pPr>
              <w:pStyle w:val="Paragraph"/>
              <w:spacing w:before="120" w:line="360" w:lineRule="auto"/>
              <w:jc w:val="right"/>
              <w:rPr>
                <w:rFonts w:ascii="Times New Roman" w:hAnsi="Times New Roman" w:cs="Times New Roman"/>
                <w:sz w:val="20"/>
              </w:rPr>
            </w:pPr>
            <w:r w:rsidRPr="00496665">
              <w:rPr>
                <w:rFonts w:ascii="Times New Roman" w:hAnsi="Times New Roman" w:cs="Times New Roman"/>
                <w:b/>
                <w:sz w:val="20"/>
              </w:rPr>
              <w:t xml:space="preserve">Claim No. </w:t>
            </w:r>
            <w:r w:rsidR="00812877">
              <w:rPr>
                <w:rFonts w:ascii="Times New Roman" w:hAnsi="Times New Roman" w:cs="Times New Roman"/>
                <w:b/>
                <w:sz w:val="20"/>
              </w:rPr>
              <w:t>ARB</w:t>
            </w:r>
            <w:r w:rsidR="00982651">
              <w:rPr>
                <w:rFonts w:ascii="Times New Roman" w:hAnsi="Times New Roman" w:cs="Times New Roman"/>
                <w:b/>
                <w:sz w:val="20"/>
              </w:rPr>
              <w:t>-</w:t>
            </w:r>
            <w:r w:rsidR="00336D21">
              <w:rPr>
                <w:rFonts w:ascii="Times New Roman" w:hAnsi="Times New Roman" w:cs="Times New Roman"/>
                <w:b/>
                <w:sz w:val="20"/>
              </w:rPr>
              <w:t>001</w:t>
            </w:r>
            <w:r w:rsidR="00982651">
              <w:rPr>
                <w:rFonts w:ascii="Times New Roman" w:hAnsi="Times New Roman" w:cs="Times New Roman"/>
                <w:b/>
                <w:sz w:val="20"/>
              </w:rPr>
              <w:t>-2026</w:t>
            </w:r>
          </w:p>
        </w:tc>
      </w:tr>
      <w:tr w:rsidR="00E41AEE" w:rsidRPr="00496665" w14:paraId="0570FA04" w14:textId="77777777" w:rsidTr="00C3479C">
        <w:tc>
          <w:tcPr>
            <w:tcW w:w="1667" w:type="pct"/>
          </w:tcPr>
          <w:p w14:paraId="3717CF08" w14:textId="5BFB6560" w:rsidR="00E41AEE" w:rsidRPr="00496665" w:rsidRDefault="00E41AEE" w:rsidP="00BB7326">
            <w:pPr>
              <w:widowControl w:val="0"/>
              <w:spacing w:line="276" w:lineRule="auto"/>
              <w:jc w:val="left"/>
              <w:rPr>
                <w:rFonts w:eastAsia="Calibri"/>
                <w:b/>
              </w:rPr>
            </w:pPr>
            <w:r w:rsidRPr="00496665">
              <w:rPr>
                <w:rFonts w:eastAsia="Calibri"/>
                <w:b/>
              </w:rPr>
              <w:t>IN THE COURT OF FIRST INSTANCE</w:t>
            </w:r>
          </w:p>
        </w:tc>
        <w:tc>
          <w:tcPr>
            <w:tcW w:w="1667" w:type="pct"/>
          </w:tcPr>
          <w:p w14:paraId="276E2645" w14:textId="77777777" w:rsidR="00E41AEE" w:rsidRPr="00496665" w:rsidRDefault="00E41AEE" w:rsidP="00BB7326">
            <w:pPr>
              <w:pStyle w:val="Paragraph"/>
              <w:jc w:val="right"/>
              <w:rPr>
                <w:rFonts w:ascii="Times New Roman" w:hAnsi="Times New Roman" w:cs="Times New Roman"/>
                <w:sz w:val="20"/>
              </w:rPr>
            </w:pPr>
          </w:p>
        </w:tc>
        <w:tc>
          <w:tcPr>
            <w:tcW w:w="1666" w:type="pct"/>
          </w:tcPr>
          <w:p w14:paraId="47BF0007" w14:textId="77777777" w:rsidR="00E41AEE" w:rsidRPr="00496665" w:rsidRDefault="00E41AEE" w:rsidP="00BB7326">
            <w:pPr>
              <w:pStyle w:val="Paragraph"/>
              <w:jc w:val="right"/>
              <w:rPr>
                <w:rFonts w:ascii="Times New Roman" w:hAnsi="Times New Roman" w:cs="Times New Roman"/>
                <w:b/>
                <w:sz w:val="20"/>
                <w:u w:val="single"/>
              </w:rPr>
            </w:pPr>
          </w:p>
        </w:tc>
      </w:tr>
      <w:tr w:rsidR="00E41AEE" w:rsidRPr="00496665" w14:paraId="740E3D61" w14:textId="77777777" w:rsidTr="00C3479C">
        <w:tc>
          <w:tcPr>
            <w:tcW w:w="1667" w:type="pct"/>
          </w:tcPr>
          <w:p w14:paraId="5A342D64" w14:textId="4A5AA0F7" w:rsidR="00E41AEE" w:rsidRPr="00496665" w:rsidRDefault="00E41AEE" w:rsidP="00BB7326">
            <w:pPr>
              <w:pStyle w:val="Paragraph"/>
              <w:spacing w:before="120" w:line="276" w:lineRule="auto"/>
              <w:jc w:val="left"/>
              <w:rPr>
                <w:rFonts w:ascii="Times New Roman" w:hAnsi="Times New Roman" w:cs="Times New Roman"/>
                <w:b/>
                <w:sz w:val="20"/>
              </w:rPr>
            </w:pPr>
            <w:r w:rsidRPr="00496665">
              <w:rPr>
                <w:rFonts w:ascii="Times New Roman" w:hAnsi="Times New Roman" w:cs="Times New Roman"/>
                <w:b/>
                <w:sz w:val="20"/>
              </w:rPr>
              <w:t>IN AN ARBITRATION CLAIM</w:t>
            </w:r>
            <w:r w:rsidR="00314816">
              <w:rPr>
                <w:rFonts w:ascii="Times New Roman" w:hAnsi="Times New Roman" w:cs="Times New Roman"/>
                <w:b/>
                <w:sz w:val="20"/>
              </w:rPr>
              <w:t xml:space="preserve"> </w:t>
            </w:r>
            <w:r w:rsidR="00314816" w:rsidRPr="00496665">
              <w:rPr>
                <w:rFonts w:ascii="Times New Roman" w:hAnsi="Times New Roman" w:cs="Times New Roman"/>
                <w:b/>
                <w:sz w:val="20"/>
              </w:rPr>
              <w:t>AND IN THE ARBITRATION</w:t>
            </w:r>
          </w:p>
        </w:tc>
        <w:tc>
          <w:tcPr>
            <w:tcW w:w="1667" w:type="pct"/>
          </w:tcPr>
          <w:p w14:paraId="1EBE292D" w14:textId="77777777" w:rsidR="00E41AEE" w:rsidRPr="00496665" w:rsidRDefault="00E41AEE" w:rsidP="00BB7326">
            <w:pPr>
              <w:pStyle w:val="Paragraph"/>
              <w:jc w:val="right"/>
              <w:rPr>
                <w:rFonts w:ascii="Times New Roman" w:hAnsi="Times New Roman" w:cs="Times New Roman"/>
                <w:sz w:val="20"/>
              </w:rPr>
            </w:pPr>
          </w:p>
        </w:tc>
        <w:tc>
          <w:tcPr>
            <w:tcW w:w="1666" w:type="pct"/>
          </w:tcPr>
          <w:p w14:paraId="003E60A5" w14:textId="77777777" w:rsidR="00E41AEE" w:rsidRPr="00496665" w:rsidRDefault="00E41AEE" w:rsidP="00BB7326">
            <w:pPr>
              <w:pStyle w:val="Paragraph"/>
              <w:jc w:val="right"/>
              <w:rPr>
                <w:rFonts w:ascii="Times New Roman" w:hAnsi="Times New Roman" w:cs="Times New Roman"/>
                <w:b/>
                <w:sz w:val="20"/>
                <w:u w:val="single"/>
              </w:rPr>
            </w:pPr>
          </w:p>
        </w:tc>
      </w:tr>
      <w:tr w:rsidR="00E41AEE" w:rsidRPr="00496665" w14:paraId="4D76C1A3" w14:textId="77777777" w:rsidTr="00C3479C">
        <w:tc>
          <w:tcPr>
            <w:tcW w:w="1667" w:type="pct"/>
          </w:tcPr>
          <w:p w14:paraId="0CEE6E05" w14:textId="77777777" w:rsidR="00E41AEE" w:rsidRPr="00496665" w:rsidRDefault="00E41AEE" w:rsidP="00BB7326">
            <w:pPr>
              <w:pStyle w:val="Paragraph"/>
              <w:spacing w:before="120" w:line="276" w:lineRule="auto"/>
              <w:jc w:val="left"/>
              <w:rPr>
                <w:rFonts w:ascii="Times New Roman" w:hAnsi="Times New Roman" w:cs="Times New Roman"/>
                <w:b/>
                <w:sz w:val="20"/>
              </w:rPr>
            </w:pPr>
            <w:r w:rsidRPr="00496665">
              <w:rPr>
                <w:rFonts w:ascii="Times New Roman" w:hAnsi="Times New Roman" w:cs="Times New Roman"/>
                <w:b/>
                <w:sz w:val="20"/>
              </w:rPr>
              <w:t>BETWEEN:</w:t>
            </w:r>
          </w:p>
        </w:tc>
        <w:tc>
          <w:tcPr>
            <w:tcW w:w="1667" w:type="pct"/>
          </w:tcPr>
          <w:p w14:paraId="31FF6D7D" w14:textId="77777777" w:rsidR="00E41AEE" w:rsidRPr="00496665" w:rsidRDefault="00E41AEE" w:rsidP="00BB7326">
            <w:pPr>
              <w:pStyle w:val="Paragraph"/>
              <w:jc w:val="right"/>
              <w:rPr>
                <w:rFonts w:ascii="Times New Roman" w:hAnsi="Times New Roman" w:cs="Times New Roman"/>
                <w:sz w:val="20"/>
              </w:rPr>
            </w:pPr>
          </w:p>
        </w:tc>
        <w:tc>
          <w:tcPr>
            <w:tcW w:w="1666" w:type="pct"/>
          </w:tcPr>
          <w:p w14:paraId="2F182CAD" w14:textId="77777777" w:rsidR="00E41AEE" w:rsidRPr="00496665" w:rsidRDefault="00E41AEE" w:rsidP="00BB7326">
            <w:pPr>
              <w:pStyle w:val="Paragraph"/>
              <w:jc w:val="right"/>
              <w:rPr>
                <w:rFonts w:ascii="Times New Roman" w:hAnsi="Times New Roman" w:cs="Times New Roman"/>
                <w:b/>
                <w:sz w:val="20"/>
                <w:u w:val="single"/>
              </w:rPr>
            </w:pPr>
          </w:p>
        </w:tc>
      </w:tr>
      <w:tr w:rsidR="00E41AEE" w:rsidRPr="00496665" w14:paraId="77D2495E" w14:textId="77777777" w:rsidTr="00C3479C">
        <w:tc>
          <w:tcPr>
            <w:tcW w:w="1667" w:type="pct"/>
          </w:tcPr>
          <w:p w14:paraId="5FEF6D6B" w14:textId="77777777" w:rsidR="00E41AEE" w:rsidRPr="00496665" w:rsidRDefault="00E41AEE" w:rsidP="00BB7326">
            <w:pPr>
              <w:pStyle w:val="Paragraph"/>
              <w:jc w:val="left"/>
              <w:rPr>
                <w:rFonts w:ascii="Times New Roman" w:hAnsi="Times New Roman" w:cs="Times New Roman"/>
                <w:b/>
                <w:sz w:val="20"/>
              </w:rPr>
            </w:pPr>
          </w:p>
        </w:tc>
        <w:tc>
          <w:tcPr>
            <w:tcW w:w="1667" w:type="pct"/>
          </w:tcPr>
          <w:p w14:paraId="7F458E97" w14:textId="77777777" w:rsidR="00E41AEE" w:rsidRPr="00496665" w:rsidRDefault="00E41AEE" w:rsidP="00BB7326">
            <w:pPr>
              <w:pStyle w:val="Paragraph"/>
              <w:jc w:val="right"/>
              <w:rPr>
                <w:rFonts w:ascii="Times New Roman" w:hAnsi="Times New Roman" w:cs="Times New Roman"/>
                <w:sz w:val="20"/>
              </w:rPr>
            </w:pPr>
          </w:p>
        </w:tc>
        <w:tc>
          <w:tcPr>
            <w:tcW w:w="1666" w:type="pct"/>
          </w:tcPr>
          <w:p w14:paraId="2A7C2633" w14:textId="77777777" w:rsidR="00E41AEE" w:rsidRPr="00496665" w:rsidRDefault="00E41AEE" w:rsidP="00BB7326">
            <w:pPr>
              <w:pStyle w:val="Paragraph"/>
              <w:jc w:val="right"/>
              <w:rPr>
                <w:rFonts w:ascii="Times New Roman" w:hAnsi="Times New Roman" w:cs="Times New Roman"/>
                <w:b/>
                <w:sz w:val="20"/>
                <w:u w:val="single"/>
              </w:rPr>
            </w:pPr>
          </w:p>
        </w:tc>
      </w:tr>
      <w:tr w:rsidR="00E41AEE" w:rsidRPr="00496665" w14:paraId="6DE9A676" w14:textId="77777777" w:rsidTr="00C3479C">
        <w:tc>
          <w:tcPr>
            <w:tcW w:w="1667" w:type="pct"/>
          </w:tcPr>
          <w:p w14:paraId="595588FE" w14:textId="77777777" w:rsidR="00E41AEE" w:rsidRPr="00496665" w:rsidRDefault="00E41AEE" w:rsidP="00BB7326">
            <w:pPr>
              <w:pStyle w:val="Paragraph"/>
              <w:jc w:val="left"/>
              <w:rPr>
                <w:rFonts w:ascii="Times New Roman" w:hAnsi="Times New Roman" w:cs="Times New Roman"/>
                <w:b/>
                <w:sz w:val="20"/>
              </w:rPr>
            </w:pPr>
          </w:p>
        </w:tc>
        <w:tc>
          <w:tcPr>
            <w:tcW w:w="1667" w:type="pct"/>
          </w:tcPr>
          <w:p w14:paraId="41755D34" w14:textId="0CA9C307" w:rsidR="00E41AEE" w:rsidRPr="00496665" w:rsidRDefault="00702A4A" w:rsidP="00BB7326">
            <w:pPr>
              <w:pStyle w:val="Paragraph"/>
              <w:jc w:val="center"/>
              <w:rPr>
                <w:rFonts w:ascii="Times New Roman" w:hAnsi="Times New Roman" w:cs="Times New Roman"/>
                <w:sz w:val="20"/>
              </w:rPr>
            </w:pPr>
            <w:r w:rsidRPr="00496665">
              <w:rPr>
                <w:rFonts w:ascii="Times New Roman" w:eastAsia="Calibri" w:hAnsi="Times New Roman" w:cs="Times New Roman"/>
                <w:b/>
                <w:bCs/>
                <w:sz w:val="20"/>
              </w:rPr>
              <w:t>Global Transit</w:t>
            </w:r>
          </w:p>
        </w:tc>
        <w:tc>
          <w:tcPr>
            <w:tcW w:w="1666" w:type="pct"/>
          </w:tcPr>
          <w:p w14:paraId="4E856111" w14:textId="69C49964" w:rsidR="00E41AEE" w:rsidRPr="00496665" w:rsidRDefault="00E41AEE" w:rsidP="00BB7326">
            <w:pPr>
              <w:pStyle w:val="Paragraph"/>
              <w:jc w:val="right"/>
              <w:rPr>
                <w:rFonts w:ascii="Times New Roman" w:hAnsi="Times New Roman" w:cs="Times New Roman"/>
                <w:b/>
                <w:sz w:val="20"/>
                <w:u w:val="single"/>
              </w:rPr>
            </w:pPr>
            <w:r w:rsidRPr="00496665">
              <w:rPr>
                <w:rFonts w:ascii="Times New Roman" w:hAnsi="Times New Roman" w:cs="Times New Roman"/>
                <w:b/>
                <w:sz w:val="20"/>
                <w:u w:val="single"/>
              </w:rPr>
              <w:t>Claimant/</w:t>
            </w:r>
            <w:r w:rsidR="00835885">
              <w:rPr>
                <w:rFonts w:ascii="Times New Roman" w:hAnsi="Times New Roman" w:cs="Times New Roman"/>
                <w:b/>
                <w:sz w:val="20"/>
                <w:u w:val="single"/>
              </w:rPr>
              <w:t xml:space="preserve"> </w:t>
            </w:r>
            <w:r w:rsidRPr="00496665">
              <w:rPr>
                <w:rFonts w:ascii="Times New Roman" w:hAnsi="Times New Roman" w:cs="Times New Roman"/>
                <w:b/>
                <w:sz w:val="20"/>
                <w:u w:val="single"/>
              </w:rPr>
              <w:t>Claimant in the arbitration</w:t>
            </w:r>
          </w:p>
        </w:tc>
      </w:tr>
      <w:tr w:rsidR="00E41AEE" w:rsidRPr="00496665" w14:paraId="500FB3F0" w14:textId="77777777" w:rsidTr="00C3479C">
        <w:tc>
          <w:tcPr>
            <w:tcW w:w="1667" w:type="pct"/>
          </w:tcPr>
          <w:p w14:paraId="37A3DC2D" w14:textId="77777777" w:rsidR="00E41AEE" w:rsidRPr="00496665" w:rsidRDefault="00E41AEE" w:rsidP="00BB7326">
            <w:pPr>
              <w:pStyle w:val="Paragraph"/>
              <w:jc w:val="left"/>
              <w:rPr>
                <w:rFonts w:ascii="Times New Roman" w:hAnsi="Times New Roman" w:cs="Times New Roman"/>
                <w:b/>
                <w:sz w:val="20"/>
              </w:rPr>
            </w:pPr>
          </w:p>
        </w:tc>
        <w:tc>
          <w:tcPr>
            <w:tcW w:w="1667" w:type="pct"/>
          </w:tcPr>
          <w:p w14:paraId="244285FD" w14:textId="77777777" w:rsidR="00E41AEE" w:rsidRPr="00496665" w:rsidRDefault="00E41AEE" w:rsidP="00BB7326">
            <w:pPr>
              <w:pStyle w:val="Paragraph"/>
              <w:jc w:val="center"/>
              <w:rPr>
                <w:rFonts w:ascii="Times New Roman" w:hAnsi="Times New Roman" w:cs="Times New Roman"/>
                <w:b/>
                <w:sz w:val="20"/>
              </w:rPr>
            </w:pPr>
          </w:p>
        </w:tc>
        <w:tc>
          <w:tcPr>
            <w:tcW w:w="1666" w:type="pct"/>
          </w:tcPr>
          <w:p w14:paraId="271AF402" w14:textId="77777777" w:rsidR="00E41AEE" w:rsidRPr="00496665" w:rsidRDefault="00E41AEE" w:rsidP="00BB7326">
            <w:pPr>
              <w:pStyle w:val="Paragraph"/>
              <w:jc w:val="right"/>
              <w:rPr>
                <w:rFonts w:ascii="Times New Roman" w:hAnsi="Times New Roman" w:cs="Times New Roman"/>
                <w:b/>
                <w:sz w:val="20"/>
                <w:u w:val="single"/>
              </w:rPr>
            </w:pPr>
          </w:p>
        </w:tc>
      </w:tr>
      <w:tr w:rsidR="00E41AEE" w:rsidRPr="00496665" w14:paraId="389AF4A4" w14:textId="77777777" w:rsidTr="00C3479C">
        <w:tc>
          <w:tcPr>
            <w:tcW w:w="1667" w:type="pct"/>
          </w:tcPr>
          <w:p w14:paraId="0576D568" w14:textId="77777777" w:rsidR="00E41AEE" w:rsidRPr="00496665" w:rsidRDefault="00E41AEE" w:rsidP="00BB7326">
            <w:pPr>
              <w:pStyle w:val="Paragraph"/>
              <w:jc w:val="left"/>
              <w:rPr>
                <w:rFonts w:ascii="Times New Roman" w:hAnsi="Times New Roman" w:cs="Times New Roman"/>
                <w:b/>
                <w:sz w:val="20"/>
              </w:rPr>
            </w:pPr>
          </w:p>
        </w:tc>
        <w:tc>
          <w:tcPr>
            <w:tcW w:w="1667" w:type="pct"/>
          </w:tcPr>
          <w:p w14:paraId="3AE5BABE" w14:textId="77777777" w:rsidR="00E41AEE" w:rsidRPr="00496665" w:rsidRDefault="00E41AEE" w:rsidP="00BB7326">
            <w:pPr>
              <w:pStyle w:val="Paragraph"/>
              <w:jc w:val="center"/>
              <w:rPr>
                <w:rFonts w:ascii="Times New Roman" w:hAnsi="Times New Roman" w:cs="Times New Roman"/>
                <w:b/>
                <w:sz w:val="20"/>
              </w:rPr>
            </w:pPr>
            <w:r w:rsidRPr="00496665">
              <w:rPr>
                <w:rFonts w:ascii="Times New Roman" w:hAnsi="Times New Roman" w:cs="Times New Roman"/>
                <w:b/>
                <w:sz w:val="20"/>
              </w:rPr>
              <w:t>- and -</w:t>
            </w:r>
          </w:p>
        </w:tc>
        <w:tc>
          <w:tcPr>
            <w:tcW w:w="1666" w:type="pct"/>
          </w:tcPr>
          <w:p w14:paraId="1A39DB33" w14:textId="77777777" w:rsidR="00E41AEE" w:rsidRPr="00496665" w:rsidRDefault="00E41AEE" w:rsidP="00BB7326">
            <w:pPr>
              <w:pStyle w:val="Paragraph"/>
              <w:jc w:val="right"/>
              <w:rPr>
                <w:rFonts w:ascii="Times New Roman" w:hAnsi="Times New Roman" w:cs="Times New Roman"/>
                <w:b/>
                <w:sz w:val="20"/>
                <w:u w:val="single"/>
              </w:rPr>
            </w:pPr>
          </w:p>
        </w:tc>
      </w:tr>
      <w:tr w:rsidR="00E41AEE" w:rsidRPr="00496665" w14:paraId="58B56AAC" w14:textId="77777777" w:rsidTr="00C3479C">
        <w:tc>
          <w:tcPr>
            <w:tcW w:w="1667" w:type="pct"/>
          </w:tcPr>
          <w:p w14:paraId="2BA80B80" w14:textId="77777777" w:rsidR="00E41AEE" w:rsidRPr="00496665" w:rsidRDefault="00E41AEE" w:rsidP="00BB7326">
            <w:pPr>
              <w:pStyle w:val="Paragraph"/>
              <w:jc w:val="left"/>
              <w:rPr>
                <w:rFonts w:ascii="Times New Roman" w:hAnsi="Times New Roman" w:cs="Times New Roman"/>
                <w:b/>
                <w:sz w:val="20"/>
              </w:rPr>
            </w:pPr>
          </w:p>
        </w:tc>
        <w:tc>
          <w:tcPr>
            <w:tcW w:w="1667" w:type="pct"/>
          </w:tcPr>
          <w:p w14:paraId="68CDF1C2" w14:textId="77777777" w:rsidR="00E41AEE" w:rsidRPr="00496665" w:rsidRDefault="00E41AEE" w:rsidP="00BB7326">
            <w:pPr>
              <w:pStyle w:val="Paragraph"/>
              <w:jc w:val="center"/>
              <w:rPr>
                <w:rFonts w:ascii="Times New Roman" w:hAnsi="Times New Roman" w:cs="Times New Roman"/>
                <w:b/>
                <w:sz w:val="20"/>
              </w:rPr>
            </w:pPr>
          </w:p>
        </w:tc>
        <w:tc>
          <w:tcPr>
            <w:tcW w:w="1666" w:type="pct"/>
          </w:tcPr>
          <w:p w14:paraId="3FC08B86" w14:textId="77777777" w:rsidR="00E41AEE" w:rsidRPr="00496665" w:rsidRDefault="00E41AEE" w:rsidP="00BB7326">
            <w:pPr>
              <w:pStyle w:val="Paragraph"/>
              <w:jc w:val="right"/>
              <w:rPr>
                <w:rFonts w:ascii="Times New Roman" w:hAnsi="Times New Roman" w:cs="Times New Roman"/>
                <w:b/>
                <w:sz w:val="20"/>
                <w:u w:val="single"/>
              </w:rPr>
            </w:pPr>
          </w:p>
        </w:tc>
      </w:tr>
      <w:tr w:rsidR="00E41AEE" w:rsidRPr="00496665" w14:paraId="7AC34341" w14:textId="77777777" w:rsidTr="00C3479C">
        <w:tc>
          <w:tcPr>
            <w:tcW w:w="1667" w:type="pct"/>
          </w:tcPr>
          <w:p w14:paraId="42CA1DE7" w14:textId="77777777" w:rsidR="00E41AEE" w:rsidRPr="00496665" w:rsidRDefault="00E41AEE" w:rsidP="00BB7326">
            <w:pPr>
              <w:pStyle w:val="Paragraph"/>
              <w:jc w:val="left"/>
              <w:rPr>
                <w:rFonts w:ascii="Times New Roman" w:hAnsi="Times New Roman" w:cs="Times New Roman"/>
                <w:b/>
                <w:sz w:val="20"/>
              </w:rPr>
            </w:pPr>
          </w:p>
        </w:tc>
        <w:tc>
          <w:tcPr>
            <w:tcW w:w="1667" w:type="pct"/>
          </w:tcPr>
          <w:p w14:paraId="5EEA0374" w14:textId="1D009728" w:rsidR="00E41AEE" w:rsidRPr="00496665" w:rsidRDefault="00954DB7" w:rsidP="00BB7326">
            <w:pPr>
              <w:pStyle w:val="Paragraph"/>
              <w:jc w:val="center"/>
              <w:rPr>
                <w:rFonts w:ascii="Times New Roman" w:hAnsi="Times New Roman" w:cs="Times New Roman"/>
                <w:b/>
                <w:sz w:val="20"/>
              </w:rPr>
            </w:pPr>
            <w:r w:rsidRPr="00496665">
              <w:rPr>
                <w:rFonts w:ascii="Times New Roman" w:hAnsi="Times New Roman" w:cs="Times New Roman"/>
                <w:b/>
                <w:bCs/>
                <w:sz w:val="20"/>
              </w:rPr>
              <w:t>Atro</w:t>
            </w:r>
            <w:r w:rsidR="00702A4A" w:rsidRPr="00496665">
              <w:rPr>
                <w:rFonts w:ascii="Times New Roman" w:hAnsi="Times New Roman" w:cs="Times New Roman"/>
                <w:b/>
                <w:bCs/>
                <w:sz w:val="20"/>
              </w:rPr>
              <w:t xml:space="preserve"> International (FZE)</w:t>
            </w:r>
          </w:p>
        </w:tc>
        <w:tc>
          <w:tcPr>
            <w:tcW w:w="1666" w:type="pct"/>
          </w:tcPr>
          <w:p w14:paraId="52935F7E" w14:textId="44DD9D95" w:rsidR="00E41AEE" w:rsidRPr="00496665" w:rsidRDefault="00E41AEE" w:rsidP="00BB7326">
            <w:pPr>
              <w:pStyle w:val="Paragraph"/>
              <w:jc w:val="right"/>
              <w:rPr>
                <w:rFonts w:ascii="Times New Roman" w:hAnsi="Times New Roman" w:cs="Times New Roman"/>
                <w:b/>
                <w:sz w:val="20"/>
                <w:u w:val="single"/>
              </w:rPr>
            </w:pPr>
            <w:r w:rsidRPr="00496665">
              <w:rPr>
                <w:rFonts w:ascii="Times New Roman" w:hAnsi="Times New Roman" w:cs="Times New Roman"/>
                <w:b/>
                <w:sz w:val="20"/>
                <w:u w:val="single"/>
              </w:rPr>
              <w:t>Defendant/</w:t>
            </w:r>
            <w:r w:rsidR="00835885">
              <w:rPr>
                <w:rFonts w:ascii="Times New Roman" w:hAnsi="Times New Roman" w:cs="Times New Roman"/>
                <w:b/>
                <w:sz w:val="20"/>
                <w:u w:val="single"/>
              </w:rPr>
              <w:t xml:space="preserve"> </w:t>
            </w:r>
            <w:r w:rsidRPr="00496665">
              <w:rPr>
                <w:rFonts w:ascii="Times New Roman" w:hAnsi="Times New Roman" w:cs="Times New Roman"/>
                <w:b/>
                <w:sz w:val="20"/>
                <w:u w:val="single"/>
              </w:rPr>
              <w:t>Respondent in the arbitration</w:t>
            </w:r>
          </w:p>
        </w:tc>
      </w:tr>
      <w:tr w:rsidR="00E41AEE" w:rsidRPr="00496665" w14:paraId="5CFFC0C0" w14:textId="77777777" w:rsidTr="00C3479C">
        <w:tc>
          <w:tcPr>
            <w:tcW w:w="1667" w:type="pct"/>
          </w:tcPr>
          <w:p w14:paraId="2FF816B1" w14:textId="77777777" w:rsidR="00E41AEE" w:rsidRPr="00496665" w:rsidRDefault="00E41AEE" w:rsidP="00BB7326">
            <w:pPr>
              <w:pStyle w:val="Paragraph"/>
              <w:jc w:val="left"/>
              <w:rPr>
                <w:rFonts w:ascii="Times New Roman" w:hAnsi="Times New Roman" w:cs="Times New Roman"/>
                <w:b/>
                <w:sz w:val="20"/>
              </w:rPr>
            </w:pPr>
          </w:p>
        </w:tc>
        <w:tc>
          <w:tcPr>
            <w:tcW w:w="1667" w:type="pct"/>
          </w:tcPr>
          <w:p w14:paraId="5B8B445D" w14:textId="77777777" w:rsidR="00E41AEE" w:rsidRPr="00496665" w:rsidRDefault="00E41AEE" w:rsidP="00BB7326">
            <w:pPr>
              <w:pStyle w:val="Paragraph"/>
              <w:rPr>
                <w:rFonts w:ascii="Times New Roman" w:hAnsi="Times New Roman" w:cs="Times New Roman"/>
                <w:b/>
                <w:sz w:val="20"/>
              </w:rPr>
            </w:pPr>
          </w:p>
        </w:tc>
        <w:tc>
          <w:tcPr>
            <w:tcW w:w="1666" w:type="pct"/>
          </w:tcPr>
          <w:p w14:paraId="08CA893E" w14:textId="77777777" w:rsidR="00E41AEE" w:rsidRPr="00496665" w:rsidRDefault="00E41AEE" w:rsidP="00BB7326">
            <w:pPr>
              <w:pStyle w:val="Paragraph"/>
              <w:jc w:val="right"/>
              <w:rPr>
                <w:rFonts w:ascii="Times New Roman" w:hAnsi="Times New Roman" w:cs="Times New Roman"/>
                <w:b/>
                <w:sz w:val="20"/>
                <w:u w:val="single"/>
              </w:rPr>
            </w:pPr>
          </w:p>
        </w:tc>
      </w:tr>
      <w:tr w:rsidR="00E41AEE" w:rsidRPr="00496665" w14:paraId="71CE8E9C" w14:textId="77777777" w:rsidTr="00E41AEE">
        <w:tc>
          <w:tcPr>
            <w:tcW w:w="5000" w:type="pct"/>
            <w:gridSpan w:val="3"/>
          </w:tcPr>
          <w:p w14:paraId="0100EAE0" w14:textId="77777777" w:rsidR="00E41AEE" w:rsidRPr="00812877" w:rsidRDefault="00E41AEE" w:rsidP="00BB7326">
            <w:pPr>
              <w:pStyle w:val="Paragraph"/>
              <w:jc w:val="center"/>
              <w:rPr>
                <w:rFonts w:ascii="Times New Roman" w:hAnsi="Times New Roman" w:cs="Times New Roman"/>
                <w:b/>
                <w:sz w:val="20"/>
              </w:rPr>
            </w:pPr>
            <w:r w:rsidRPr="00812877">
              <w:rPr>
                <w:rFonts w:ascii="Times New Roman" w:hAnsi="Times New Roman" w:cs="Times New Roman"/>
                <w:b/>
                <w:sz w:val="20"/>
              </w:rPr>
              <w:t>--------------------------------------</w:t>
            </w:r>
          </w:p>
          <w:p w14:paraId="587AF814" w14:textId="3C908A54" w:rsidR="00E41AEE" w:rsidRPr="00812877" w:rsidRDefault="00E41AEE" w:rsidP="00BB7326">
            <w:pPr>
              <w:pStyle w:val="Paragraph"/>
              <w:jc w:val="center"/>
              <w:rPr>
                <w:rFonts w:ascii="Times New Roman" w:hAnsi="Times New Roman" w:cs="Times New Roman"/>
                <w:b/>
                <w:sz w:val="20"/>
              </w:rPr>
            </w:pPr>
            <w:r w:rsidRPr="00812877">
              <w:rPr>
                <w:rFonts w:ascii="Times New Roman" w:hAnsi="Times New Roman" w:cs="Times New Roman"/>
                <w:b/>
                <w:sz w:val="20"/>
              </w:rPr>
              <w:t xml:space="preserve">WITNESS STATEMENT OF </w:t>
            </w:r>
            <w:r w:rsidR="009C5919">
              <w:rPr>
                <w:rFonts w:ascii="Times New Roman" w:hAnsi="Times New Roman" w:cs="Times New Roman"/>
                <w:b/>
                <w:sz w:val="20"/>
              </w:rPr>
              <w:t>PRIYANSHI VAKHARIA</w:t>
            </w:r>
          </w:p>
          <w:p w14:paraId="575BA4CF" w14:textId="66EF7AF6" w:rsidR="00E41AEE" w:rsidRPr="00496665" w:rsidRDefault="00E41AEE" w:rsidP="00BB7326">
            <w:pPr>
              <w:pStyle w:val="Paragraph"/>
              <w:jc w:val="center"/>
              <w:rPr>
                <w:rFonts w:ascii="Times New Roman" w:hAnsi="Times New Roman" w:cs="Times New Roman"/>
                <w:b/>
                <w:sz w:val="20"/>
                <w:u w:val="single"/>
              </w:rPr>
            </w:pPr>
            <w:r w:rsidRPr="00812877">
              <w:rPr>
                <w:rFonts w:ascii="Times New Roman" w:hAnsi="Times New Roman" w:cs="Times New Roman"/>
                <w:b/>
                <w:sz w:val="20"/>
              </w:rPr>
              <w:t>--------------------------------------</w:t>
            </w:r>
          </w:p>
        </w:tc>
      </w:tr>
    </w:tbl>
    <w:p w14:paraId="0E2452AD" w14:textId="098CEDD1" w:rsidR="00764B23" w:rsidRPr="00496665" w:rsidRDefault="00E41AEE" w:rsidP="00BB7326">
      <w:pPr>
        <w:rPr>
          <w:rFonts w:eastAsia="Calibri"/>
          <w:b/>
        </w:rPr>
      </w:pPr>
      <w:r w:rsidRPr="00496665">
        <w:rPr>
          <w:rFonts w:eastAsia="Calibri"/>
          <w:b/>
        </w:rPr>
        <w:br w:type="page"/>
      </w:r>
      <w:bookmarkEnd w:id="0"/>
    </w:p>
    <w:p w14:paraId="228464DB" w14:textId="77777777" w:rsidR="00764B23" w:rsidRPr="00496665" w:rsidRDefault="00764B23" w:rsidP="00BB7326">
      <w:pPr>
        <w:tabs>
          <w:tab w:val="left" w:pos="2520"/>
        </w:tabs>
        <w:rPr>
          <w:rFonts w:eastAsia="Calibri"/>
        </w:rPr>
        <w:sectPr w:rsidR="00764B23" w:rsidRPr="00496665" w:rsidSect="007340E4">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cols w:space="720"/>
          <w:docGrid w:linePitch="360"/>
        </w:sectPr>
      </w:pPr>
    </w:p>
    <w:bookmarkEnd w:id="1"/>
    <w:p w14:paraId="397528FD" w14:textId="630D556F" w:rsidR="00610BD6" w:rsidRPr="00496665" w:rsidRDefault="00610BD6" w:rsidP="00BB7326">
      <w:pPr>
        <w:widowControl w:val="0"/>
      </w:pPr>
      <w:r w:rsidRPr="009A3A40">
        <w:lastRenderedPageBreak/>
        <w:t xml:space="preserve">I, </w:t>
      </w:r>
      <w:r w:rsidR="009C5919">
        <w:t>Priyanshi Vakharia</w:t>
      </w:r>
      <w:r w:rsidR="009C5919" w:rsidRPr="009A3A40">
        <w:t>,</w:t>
      </w:r>
      <w:r w:rsidR="009C5919" w:rsidRPr="00835885">
        <w:t xml:space="preserve"> </w:t>
      </w:r>
      <w:r w:rsidR="00AA4827">
        <w:t xml:space="preserve">of Singularity Legal, of 1809-1810, One Lodha Place, Senapati Bapat Marg, Lower Parel, Mumbai, Maharashtra, India, 400 013, </w:t>
      </w:r>
      <w:r w:rsidR="00835885" w:rsidRPr="009A3A40">
        <w:rPr>
          <w:bCs/>
        </w:rPr>
        <w:t>state as follows:</w:t>
      </w:r>
      <w:r w:rsidR="00835885" w:rsidRPr="009F6BC2">
        <w:rPr>
          <w:b/>
        </w:rPr>
        <w:t xml:space="preserve"> </w:t>
      </w:r>
      <w:r w:rsidR="00835885" w:rsidRPr="009F6BC2">
        <w:t xml:space="preserve"> </w:t>
      </w:r>
    </w:p>
    <w:p w14:paraId="4EECAFD3" w14:textId="0239FDF4" w:rsidR="007F509B" w:rsidRPr="00AA4827" w:rsidRDefault="00CF4214" w:rsidP="00BB7326">
      <w:pPr>
        <w:pStyle w:val="ListParagraph"/>
        <w:widowControl w:val="0"/>
        <w:numPr>
          <w:ilvl w:val="0"/>
          <w:numId w:val="6"/>
        </w:numPr>
        <w:rPr>
          <w:bCs/>
        </w:rPr>
      </w:pPr>
      <w:r w:rsidRPr="00CF4214">
        <w:rPr>
          <w:bCs/>
        </w:rPr>
        <w:t xml:space="preserve">I am </w:t>
      </w:r>
      <w:r w:rsidR="00DA37A8">
        <w:rPr>
          <w:bCs/>
        </w:rPr>
        <w:t xml:space="preserve">a </w:t>
      </w:r>
      <w:r w:rsidR="009C5919">
        <w:rPr>
          <w:bCs/>
        </w:rPr>
        <w:t>counsel</w:t>
      </w:r>
      <w:r w:rsidR="00AA4827">
        <w:rPr>
          <w:bCs/>
        </w:rPr>
        <w:t xml:space="preserve"> </w:t>
      </w:r>
      <w:r w:rsidR="00DA37A8">
        <w:rPr>
          <w:bCs/>
        </w:rPr>
        <w:t xml:space="preserve">at </w:t>
      </w:r>
      <w:r w:rsidR="00AA4827">
        <w:rPr>
          <w:bCs/>
        </w:rPr>
        <w:t xml:space="preserve">Singularity Legal LLP, the legal representatives for the Claimant in the present proceedings. I am authorised by the Claimant to make this witness statement on </w:t>
      </w:r>
      <w:r w:rsidR="0019633E">
        <w:rPr>
          <w:bCs/>
        </w:rPr>
        <w:t>its</w:t>
      </w:r>
      <w:r w:rsidR="00AA4827">
        <w:rPr>
          <w:bCs/>
        </w:rPr>
        <w:t xml:space="preserve"> behalf. </w:t>
      </w:r>
    </w:p>
    <w:p w14:paraId="3D59AACF" w14:textId="2FE3DE9A" w:rsidR="00314816" w:rsidRDefault="00314816" w:rsidP="00BB7326">
      <w:pPr>
        <w:pStyle w:val="ListParagraph"/>
        <w:widowControl w:val="0"/>
        <w:numPr>
          <w:ilvl w:val="0"/>
          <w:numId w:val="6"/>
        </w:numPr>
      </w:pPr>
      <w:r w:rsidRPr="00496665">
        <w:t xml:space="preserve">Unless otherwise stated, the facts and matters stated herein are within my personal knowledge </w:t>
      </w:r>
      <w:r w:rsidR="002A13A4">
        <w:t xml:space="preserve">arising from my involvement in the </w:t>
      </w:r>
      <w:r w:rsidR="00AA4827">
        <w:t>present proceedings</w:t>
      </w:r>
      <w:r w:rsidR="007F509B">
        <w:t xml:space="preserve"> </w:t>
      </w:r>
      <w:r w:rsidRPr="00496665">
        <w:t xml:space="preserve">or </w:t>
      </w:r>
      <w:r w:rsidR="002A13A4">
        <w:t xml:space="preserve">are </w:t>
      </w:r>
      <w:r w:rsidRPr="00496665">
        <w:t>derived from documents and records in the Claimant’s possession. Insofar as the facts and matters stated herein are within my personal knowledge, they are true. Insofar as the facts and matters are not within my own personal knowledge, they are true to the best of my information and belief.</w:t>
      </w:r>
    </w:p>
    <w:p w14:paraId="6571710F" w14:textId="036DF48D" w:rsidR="00B64AC8" w:rsidRDefault="00B64AC8" w:rsidP="00BB7326">
      <w:pPr>
        <w:pStyle w:val="ListParagraph"/>
        <w:widowControl w:val="0"/>
        <w:numPr>
          <w:ilvl w:val="0"/>
          <w:numId w:val="6"/>
        </w:numPr>
        <w:rPr>
          <w:bCs/>
        </w:rPr>
      </w:pPr>
      <w:r w:rsidRPr="00B64AC8">
        <w:rPr>
          <w:bCs/>
        </w:rPr>
        <w:t>Nothing in this statement constitutes a waiver of legal privilege. Insofar as any document is referred to here</w:t>
      </w:r>
      <w:r w:rsidR="00FA5183">
        <w:rPr>
          <w:bCs/>
        </w:rPr>
        <w:t>in</w:t>
      </w:r>
      <w:r w:rsidRPr="00B64AC8">
        <w:rPr>
          <w:bCs/>
        </w:rPr>
        <w:t xml:space="preserve"> which would otherwise attract legal or other privilege from disclosure, there is no intention of waiving privilege as to any other related documents.</w:t>
      </w:r>
    </w:p>
    <w:p w14:paraId="4140F858" w14:textId="4B994656" w:rsidR="00B64AC8" w:rsidRPr="000B6AD0" w:rsidRDefault="00B64AC8" w:rsidP="00D60890">
      <w:pPr>
        <w:pStyle w:val="ListParagraph"/>
        <w:widowControl w:val="0"/>
        <w:numPr>
          <w:ilvl w:val="0"/>
          <w:numId w:val="6"/>
        </w:numPr>
        <w:rPr>
          <w:lang w:val="en-IN"/>
        </w:rPr>
      </w:pPr>
      <w:r w:rsidRPr="00B64AC8">
        <w:t xml:space="preserve">In this statement, I will be referring to </w:t>
      </w:r>
      <w:proofErr w:type="gramStart"/>
      <w:r w:rsidRPr="00B64AC8">
        <w:t>a number of</w:t>
      </w:r>
      <w:proofErr w:type="gramEnd"/>
      <w:r w:rsidRPr="00B64AC8">
        <w:t xml:space="preserve"> documents, which are collectively exhibited hereto and marked as</w:t>
      </w:r>
      <w:r>
        <w:t xml:space="preserve"> </w:t>
      </w:r>
      <w:r w:rsidR="009C5919" w:rsidRPr="00496665">
        <w:t>“</w:t>
      </w:r>
      <w:r w:rsidR="009C5919" w:rsidRPr="000B6AD0">
        <w:rPr>
          <w:b/>
          <w:bCs/>
        </w:rPr>
        <w:t>PV-</w:t>
      </w:r>
      <w:r w:rsidR="00D60890">
        <w:rPr>
          <w:b/>
          <w:bCs/>
        </w:rPr>
        <w:t>1</w:t>
      </w:r>
      <w:r w:rsidRPr="00496665">
        <w:t>”.</w:t>
      </w:r>
      <w:r w:rsidR="00D60890">
        <w:t xml:space="preserve"> </w:t>
      </w:r>
      <w:r w:rsidR="00D60890" w:rsidRPr="00D60890">
        <w:rPr>
          <w:lang w:val="en-IN"/>
        </w:rPr>
        <w:t xml:space="preserve">For avoidance of repetition, I also rely on the bundle of documents in support of the </w:t>
      </w:r>
      <w:r w:rsidR="00D60890">
        <w:rPr>
          <w:lang w:val="en-IN"/>
        </w:rPr>
        <w:t>Witness Statement of Mr Harmeet Singh dated 5 January 2026 (“</w:t>
      </w:r>
      <w:r w:rsidR="00D60890" w:rsidRPr="000B6AD0">
        <w:rPr>
          <w:b/>
          <w:bCs/>
          <w:lang w:val="en-IN"/>
        </w:rPr>
        <w:t>HS-1</w:t>
      </w:r>
      <w:r w:rsidR="00D60890">
        <w:rPr>
          <w:lang w:val="en-IN"/>
        </w:rPr>
        <w:t>”).</w:t>
      </w:r>
      <w:r w:rsidRPr="00496665" w:rsidDel="00C923AB">
        <w:t xml:space="preserve"> </w:t>
      </w:r>
      <w:r w:rsidR="00F041F1">
        <w:t xml:space="preserve">Capitalised terms throughout this witness statement shall have the same meaning as set out in the Witness Statement of Mr Harmeet Singh dated 5 January 2026 </w:t>
      </w:r>
      <w:r w:rsidR="00262779">
        <w:t>(“</w:t>
      </w:r>
      <w:r w:rsidR="00262779" w:rsidRPr="00D60890">
        <w:rPr>
          <w:b/>
          <w:bCs/>
        </w:rPr>
        <w:t>Singh</w:t>
      </w:r>
      <w:r w:rsidR="00F17D06" w:rsidRPr="00D60890">
        <w:rPr>
          <w:b/>
          <w:bCs/>
        </w:rPr>
        <w:t>-</w:t>
      </w:r>
      <w:r w:rsidR="00262779" w:rsidRPr="00D60890">
        <w:rPr>
          <w:b/>
          <w:bCs/>
        </w:rPr>
        <w:t>1</w:t>
      </w:r>
      <w:r w:rsidR="00262779">
        <w:t xml:space="preserve">”) </w:t>
      </w:r>
      <w:r w:rsidR="00F041F1">
        <w:t>and the Witness Statement of Mr Adam Moisejes Green dated 22 January 2026</w:t>
      </w:r>
      <w:r w:rsidR="00262779">
        <w:t xml:space="preserve"> (“</w:t>
      </w:r>
      <w:r w:rsidR="00262779" w:rsidRPr="00D60890">
        <w:rPr>
          <w:b/>
          <w:bCs/>
        </w:rPr>
        <w:t>Green</w:t>
      </w:r>
      <w:r w:rsidR="00F17D06" w:rsidRPr="00D60890">
        <w:rPr>
          <w:b/>
          <w:bCs/>
        </w:rPr>
        <w:t>-</w:t>
      </w:r>
      <w:r w:rsidR="00262779" w:rsidRPr="00D60890">
        <w:rPr>
          <w:b/>
          <w:bCs/>
        </w:rPr>
        <w:t>1</w:t>
      </w:r>
      <w:r w:rsidR="00262779">
        <w:t>”)</w:t>
      </w:r>
      <w:r w:rsidR="00F041F1">
        <w:t xml:space="preserve">. </w:t>
      </w:r>
    </w:p>
    <w:p w14:paraId="35BDD57F" w14:textId="4C4E63C7" w:rsidR="00505E7F" w:rsidRPr="007E1823" w:rsidRDefault="007E1823" w:rsidP="00BB7326">
      <w:pPr>
        <w:pStyle w:val="ListParagraph"/>
        <w:widowControl w:val="0"/>
        <w:numPr>
          <w:ilvl w:val="0"/>
          <w:numId w:val="6"/>
        </w:numPr>
        <w:rPr>
          <w:bCs/>
        </w:rPr>
      </w:pPr>
      <w:r w:rsidRPr="00496665">
        <w:t xml:space="preserve">I make this witness statement in </w:t>
      </w:r>
      <w:r>
        <w:t>answer and opposition to the Defendant’s application</w:t>
      </w:r>
      <w:r w:rsidR="00256FD7">
        <w:t xml:space="preserve"> dated 22 January 2026 (“</w:t>
      </w:r>
      <w:r w:rsidR="00256FD7" w:rsidRPr="007E1823">
        <w:rPr>
          <w:b/>
          <w:bCs/>
        </w:rPr>
        <w:t>Application</w:t>
      </w:r>
      <w:r w:rsidR="00256FD7">
        <w:t>”),</w:t>
      </w:r>
      <w:r>
        <w:t xml:space="preserve"> </w:t>
      </w:r>
      <w:r w:rsidR="00366385">
        <w:t>challenging service of the enforcement order</w:t>
      </w:r>
      <w:r w:rsidR="00887492">
        <w:t xml:space="preserve"> (</w:t>
      </w:r>
      <w:r w:rsidR="00887492" w:rsidRPr="00887492">
        <w:rPr>
          <w:b/>
          <w:bCs/>
        </w:rPr>
        <w:t>I</w:t>
      </w:r>
      <w:r w:rsidR="00887492">
        <w:t>)</w:t>
      </w:r>
      <w:r w:rsidR="00366385">
        <w:t xml:space="preserve">, jurisdiction </w:t>
      </w:r>
      <w:r w:rsidR="00887492">
        <w:t>(</w:t>
      </w:r>
      <w:r w:rsidR="00887492" w:rsidRPr="00887492">
        <w:rPr>
          <w:b/>
          <w:bCs/>
        </w:rPr>
        <w:t>II</w:t>
      </w:r>
      <w:r w:rsidR="00887492">
        <w:t xml:space="preserve">), </w:t>
      </w:r>
      <w:r w:rsidR="00366385">
        <w:t xml:space="preserve">and </w:t>
      </w:r>
      <w:r w:rsidR="00256FD7">
        <w:t>seeking</w:t>
      </w:r>
      <w:r w:rsidR="0019633E">
        <w:t xml:space="preserve"> the</w:t>
      </w:r>
      <w:r w:rsidR="00256FD7">
        <w:t xml:space="preserve"> </w:t>
      </w:r>
      <w:r w:rsidR="0019633E">
        <w:t>setting</w:t>
      </w:r>
      <w:r w:rsidR="00256FD7">
        <w:t xml:space="preserve"> aside of the Recognition Order</w:t>
      </w:r>
      <w:r w:rsidR="00366385">
        <w:t xml:space="preserve"> </w:t>
      </w:r>
      <w:r w:rsidR="00887492">
        <w:t>(</w:t>
      </w:r>
      <w:r w:rsidR="00887492" w:rsidRPr="00887492">
        <w:rPr>
          <w:b/>
          <w:bCs/>
        </w:rPr>
        <w:t>III</w:t>
      </w:r>
      <w:r w:rsidR="00887492">
        <w:t>)</w:t>
      </w:r>
      <w:r w:rsidR="00256FD7">
        <w:t>.</w:t>
      </w:r>
    </w:p>
    <w:p w14:paraId="538A6E25" w14:textId="42F19846" w:rsidR="00D87E38" w:rsidRDefault="007E1823" w:rsidP="00BB7326">
      <w:pPr>
        <w:pStyle w:val="Heading1"/>
      </w:pPr>
      <w:r>
        <w:rPr>
          <w:caps w:val="0"/>
        </w:rPr>
        <w:t xml:space="preserve">SERVICE </w:t>
      </w:r>
      <w:r w:rsidR="00BB41CC">
        <w:rPr>
          <w:caps w:val="0"/>
        </w:rPr>
        <w:t>OF THE RECOGNITION ORDER</w:t>
      </w:r>
      <w:r w:rsidR="006E46A9">
        <w:rPr>
          <w:caps w:val="0"/>
        </w:rPr>
        <w:t xml:space="preserve"> IS COMPLETE</w:t>
      </w:r>
    </w:p>
    <w:p w14:paraId="4A0CE168" w14:textId="1E1866A8" w:rsidR="00D64DC5" w:rsidRDefault="00D64DC5" w:rsidP="00D86A9B">
      <w:pPr>
        <w:pStyle w:val="ListParagraph"/>
        <w:numPr>
          <w:ilvl w:val="0"/>
          <w:numId w:val="6"/>
        </w:numPr>
      </w:pPr>
      <w:r>
        <w:t>At the outset, the Defendant alleges that service of the Recognition Order was invalid by reference to RDC 9.29. RDC 9.29, however, applies expressly to the service of claim forms. The Defendant has not identified any provision of the Rules which applies RDC 9.29 to the service of a recognition or enforcement order, nor has it cited any authority for the proposition that a recognition order is to be treated as a claim form for the purposes of service.</w:t>
      </w:r>
    </w:p>
    <w:p w14:paraId="32F80F24" w14:textId="7E2663B6" w:rsidR="00F23662" w:rsidRDefault="00F23662" w:rsidP="00D86A9B">
      <w:pPr>
        <w:pStyle w:val="ListParagraph"/>
        <w:numPr>
          <w:ilvl w:val="0"/>
          <w:numId w:val="6"/>
        </w:numPr>
      </w:pPr>
      <w:r>
        <w:t>Pursuant to RDC 43.67, an Arabic translation of the draft order was required to accompany the Enforcement Application. In compliance with that requirement, the Claimant filed both the English and Arabic versions of the draft order along with the DIFC Courts as part of the Enforcement Application, which remain available on the DIFC Courts’ electronic portal for the Defendant’s perusal. The Recognition Order as issued corresponds materially with the draft order, save for the addition of the date of issuance, the name of the Judge and the claim number.</w:t>
      </w:r>
    </w:p>
    <w:p w14:paraId="6A465DC5" w14:textId="1DE69BEA" w:rsidR="00D64DC5" w:rsidRPr="00F23662" w:rsidRDefault="00D64DC5" w:rsidP="00D86A9B">
      <w:pPr>
        <w:pStyle w:val="ListParagraph"/>
        <w:numPr>
          <w:ilvl w:val="0"/>
          <w:numId w:val="6"/>
        </w:numPr>
      </w:pPr>
      <w:r>
        <w:t xml:space="preserve">In any event, </w:t>
      </w:r>
      <w:r w:rsidRPr="00D64DC5">
        <w:t>and without prejudice to the foregoing</w:t>
      </w:r>
      <w:r>
        <w:t>, s</w:t>
      </w:r>
      <w:r w:rsidRPr="00D64DC5">
        <w:t>ervice ought to be deemed valid for the following reasons</w:t>
      </w:r>
      <w:r>
        <w:t>.</w:t>
      </w:r>
    </w:p>
    <w:p w14:paraId="2894BBDD" w14:textId="7AE8A4F2" w:rsidR="00D86A9B" w:rsidRDefault="004D451D" w:rsidP="00D86A9B">
      <w:pPr>
        <w:pStyle w:val="ListParagraph"/>
        <w:numPr>
          <w:ilvl w:val="0"/>
          <w:numId w:val="6"/>
        </w:numPr>
      </w:pPr>
      <w:r w:rsidRPr="00351C59">
        <w:rPr>
          <w:b/>
          <w:bCs/>
        </w:rPr>
        <w:t>First</w:t>
      </w:r>
      <w:r>
        <w:t>, t</w:t>
      </w:r>
      <w:r w:rsidR="00152A2A" w:rsidRPr="00152A2A">
        <w:t xml:space="preserve">he Defendant has waived any objection to invalid service of the Recognition Order by </w:t>
      </w:r>
      <w:r w:rsidR="005A00B9">
        <w:t>accepting</w:t>
      </w:r>
      <w:r w:rsidR="00152A2A" w:rsidRPr="00152A2A">
        <w:t xml:space="preserve"> service and participating in the proceedings. </w:t>
      </w:r>
    </w:p>
    <w:p w14:paraId="1FC325E7" w14:textId="05D0336A" w:rsidR="00D86A9B" w:rsidRDefault="00D86A9B" w:rsidP="00351C59">
      <w:pPr>
        <w:pStyle w:val="ListParagraph"/>
        <w:numPr>
          <w:ilvl w:val="0"/>
          <w:numId w:val="6"/>
        </w:numPr>
      </w:pPr>
      <w:r>
        <w:lastRenderedPageBreak/>
        <w:t xml:space="preserve">The DIFC Courts have confirmed that there is nothing to suggest that a party is not able to waive service requirements by accepting service and responding to a claim. </w:t>
      </w:r>
      <w:proofErr w:type="gramStart"/>
      <w:r>
        <w:t>In particular, where</w:t>
      </w:r>
      <w:proofErr w:type="gramEnd"/>
      <w:r>
        <w:t xml:space="preserve"> a defendant files an acknowledgment of service and participates in proceedings, its conduct amounts to a waiver of any objection to the form of service, including any failure to provide an Arabic translation at the time of service: [15]</w:t>
      </w:r>
      <w:r w:rsidR="00DA37A8">
        <w:t>-</w:t>
      </w:r>
      <w:r>
        <w:t xml:space="preserve">[17], </w:t>
      </w:r>
      <w:r w:rsidRPr="00D86A9B">
        <w:rPr>
          <w:i/>
          <w:iCs/>
          <w:lang w:val="en-IN"/>
        </w:rPr>
        <w:t xml:space="preserve">DIFC Investments LLC v. Zia </w:t>
      </w:r>
      <w:r w:rsidRPr="00D86A9B">
        <w:rPr>
          <w:lang w:val="en-IN"/>
        </w:rPr>
        <w:t>[2017] DIFC CFI 001 (11 April 2017)</w:t>
      </w:r>
      <w:r w:rsidRPr="00BF22E4">
        <w:t>.</w:t>
      </w:r>
      <w:r>
        <w:t xml:space="preserve"> The following facts are pertinent:</w:t>
      </w:r>
    </w:p>
    <w:p w14:paraId="17B82D83" w14:textId="79BB9AD6" w:rsidR="00D86A9B" w:rsidRDefault="00D86A9B" w:rsidP="00D86A9B">
      <w:pPr>
        <w:pStyle w:val="ListParagraph"/>
        <w:numPr>
          <w:ilvl w:val="1"/>
          <w:numId w:val="6"/>
        </w:numPr>
      </w:pPr>
      <w:r w:rsidRPr="0090275C">
        <w:t>The Defendant does not dispute that the Arbitration Claim Form, Recognition Order, and supporting documents were in fact delivered to its registered address at JAFZA South, LB18 Office 2407, on 7 January 2026</w:t>
      </w:r>
      <w:r>
        <w:t xml:space="preserve">: </w:t>
      </w:r>
      <w:r w:rsidRPr="00BF22E4">
        <w:t xml:space="preserve">[20] of </w:t>
      </w:r>
      <w:r>
        <w:t>the Green-1.</w:t>
      </w:r>
    </w:p>
    <w:p w14:paraId="230F5F2E" w14:textId="7D13811A" w:rsidR="00D86A9B" w:rsidRDefault="00D86A9B" w:rsidP="00D86A9B">
      <w:pPr>
        <w:pStyle w:val="ListParagraph"/>
        <w:numPr>
          <w:ilvl w:val="1"/>
          <w:numId w:val="6"/>
        </w:numPr>
      </w:pPr>
      <w:r>
        <w:t>Following receipt of those documents, the Defendant engaged legal counsel</w:t>
      </w:r>
      <w:r w:rsidR="000867F7">
        <w:t xml:space="preserve"> (Davidson and Co.)</w:t>
      </w:r>
      <w:r>
        <w:t>, prepared a detailed application challenging service, jurisdiction and seeking the set</w:t>
      </w:r>
      <w:r w:rsidR="000867F7">
        <w:t>ting</w:t>
      </w:r>
      <w:r>
        <w:t xml:space="preserve"> aside of the Recognition Order; and filed </w:t>
      </w:r>
      <w:r w:rsidR="000867F7">
        <w:t>that</w:t>
      </w:r>
      <w:r>
        <w:t xml:space="preserve"> application on </w:t>
      </w:r>
      <w:r w:rsidRPr="00351C59">
        <w:rPr>
          <w:rStyle w:val="Strong"/>
          <w:b w:val="0"/>
          <w:bCs w:val="0"/>
        </w:rPr>
        <w:t>22 January 2026</w:t>
      </w:r>
      <w:r>
        <w:t>, supported by a substantive witness statement.</w:t>
      </w:r>
    </w:p>
    <w:p w14:paraId="59683163" w14:textId="636DC698" w:rsidR="00D86A9B" w:rsidRDefault="00D86A9B" w:rsidP="00351C59">
      <w:pPr>
        <w:pStyle w:val="ListParagraph"/>
        <w:numPr>
          <w:ilvl w:val="1"/>
          <w:numId w:val="6"/>
        </w:numPr>
      </w:pPr>
      <w:r>
        <w:t xml:space="preserve">The Defendant’s application was filed </w:t>
      </w:r>
      <w:r w:rsidRPr="00351C59">
        <w:rPr>
          <w:rStyle w:val="Strong"/>
          <w:b w:val="0"/>
          <w:bCs w:val="0"/>
        </w:rPr>
        <w:t>within the 14-day period</w:t>
      </w:r>
      <w:r>
        <w:t xml:space="preserve"> specified in the Recognition Order, which</w:t>
      </w:r>
      <w:r w:rsidR="000867F7">
        <w:t>,</w:t>
      </w:r>
      <w:r>
        <w:t xml:space="preserve"> </w:t>
      </w:r>
      <w:r w:rsidR="000867F7" w:rsidRPr="000867F7">
        <w:t xml:space="preserve">applying the </w:t>
      </w:r>
      <w:r w:rsidR="000867F7">
        <w:t>considered</w:t>
      </w:r>
      <w:r w:rsidR="000867F7" w:rsidRPr="000867F7">
        <w:t xml:space="preserve"> date of service of 9 January 2026</w:t>
      </w:r>
      <w:r w:rsidR="000867F7">
        <w:t xml:space="preserve">, </w:t>
      </w:r>
      <w:r w:rsidR="000867F7" w:rsidRPr="000867F7">
        <w:t xml:space="preserve">expired </w:t>
      </w:r>
      <w:r w:rsidR="000867F7">
        <w:t xml:space="preserve">only </w:t>
      </w:r>
      <w:r w:rsidR="000867F7" w:rsidRPr="000867F7">
        <w:t>on 23 January 2026.</w:t>
      </w:r>
      <w:r>
        <w:t xml:space="preserve"> </w:t>
      </w:r>
      <w:r w:rsidR="000867F7">
        <w:t>This</w:t>
      </w:r>
      <w:r>
        <w:t xml:space="preserve"> demonstrates that the Defendant was adequately notified of the proceedings, understood the documents served, and was able to exercise its procedural rights in time.</w:t>
      </w:r>
    </w:p>
    <w:p w14:paraId="65763EFF" w14:textId="02B91284" w:rsidR="00861394" w:rsidRDefault="005A00B9" w:rsidP="005A00B9">
      <w:pPr>
        <w:pStyle w:val="ListParagraph"/>
        <w:numPr>
          <w:ilvl w:val="1"/>
          <w:numId w:val="6"/>
        </w:numPr>
      </w:pPr>
      <w:proofErr w:type="gramStart"/>
      <w:r>
        <w:t>In order to</w:t>
      </w:r>
      <w:proofErr w:type="gramEnd"/>
      <w:r>
        <w:t xml:space="preserve"> access the case files and file the Application</w:t>
      </w:r>
      <w:r w:rsidR="00861394">
        <w:t xml:space="preserve"> on 22 January 2026</w:t>
      </w:r>
      <w:r>
        <w:t>, the Defendant needed to have filed</w:t>
      </w:r>
      <w:r w:rsidR="00BB7326" w:rsidRPr="00152A2A">
        <w:t xml:space="preserve"> an </w:t>
      </w:r>
      <w:r>
        <w:t>A</w:t>
      </w:r>
      <w:r w:rsidR="00BB7326" w:rsidRPr="00152A2A">
        <w:t xml:space="preserve">cknowledgment of </w:t>
      </w:r>
      <w:r>
        <w:t>S</w:t>
      </w:r>
      <w:r w:rsidR="00BB7326" w:rsidRPr="00152A2A">
        <w:t xml:space="preserve">ervice. </w:t>
      </w:r>
      <w:r w:rsidR="00BB7326">
        <w:t xml:space="preserve">The Defendant </w:t>
      </w:r>
      <w:r w:rsidR="000867F7">
        <w:t xml:space="preserve">further </w:t>
      </w:r>
      <w:r w:rsidR="00BB7326">
        <w:t xml:space="preserve">participated in the proceedings by filing </w:t>
      </w:r>
      <w:r w:rsidR="000867F7">
        <w:t xml:space="preserve">a substantive application addressing the Claimant’s Enforcement Application </w:t>
      </w:r>
      <w:r w:rsidR="00BB7326">
        <w:t xml:space="preserve">on </w:t>
      </w:r>
      <w:r w:rsidR="000867F7">
        <w:t xml:space="preserve">its </w:t>
      </w:r>
      <w:r w:rsidR="00BB7326">
        <w:t xml:space="preserve">merits. </w:t>
      </w:r>
    </w:p>
    <w:p w14:paraId="1E5413A0" w14:textId="3124C3F8" w:rsidR="00D86A9B" w:rsidRDefault="00D86A9B" w:rsidP="005A00B9">
      <w:pPr>
        <w:pStyle w:val="ListParagraph"/>
        <w:numPr>
          <w:ilvl w:val="1"/>
          <w:numId w:val="6"/>
        </w:numPr>
      </w:pPr>
      <w:r w:rsidRPr="00D86A9B">
        <w:t>Further, pursuant to Article II(A)(3) of the DIFC Courts’ Guidance Note in respect of the fee schedule, where a defendant responds to an arbitration claim “</w:t>
      </w:r>
      <w:r w:rsidRPr="00351C59">
        <w:rPr>
          <w:i/>
          <w:iCs/>
        </w:rPr>
        <w:t>in any shape or form</w:t>
      </w:r>
      <w:r w:rsidRPr="00D86A9B">
        <w:t>”, the Claimant becomes liable to pay the remaining 50% of the applicable court fee. On 22 January 2026, following the Defendant’s filing of its application, the Registry required the Claimant to pay the second tranche of the applicable fee.</w:t>
      </w:r>
      <w:r>
        <w:rPr>
          <w:rStyle w:val="FootnoteReference"/>
        </w:rPr>
        <w:footnoteReference w:id="1"/>
      </w:r>
    </w:p>
    <w:p w14:paraId="07EA0B65" w14:textId="57463B15" w:rsidR="00861394" w:rsidRDefault="004D451D" w:rsidP="000867F7">
      <w:pPr>
        <w:pStyle w:val="ListParagraph"/>
        <w:numPr>
          <w:ilvl w:val="0"/>
          <w:numId w:val="6"/>
        </w:numPr>
      </w:pPr>
      <w:r>
        <w:rPr>
          <w:b/>
          <w:bCs/>
        </w:rPr>
        <w:t>Second</w:t>
      </w:r>
      <w:r>
        <w:t>,</w:t>
      </w:r>
      <w:r w:rsidR="00861394">
        <w:t xml:space="preserve"> and in any event, </w:t>
      </w:r>
      <w:r w:rsidR="00D86A9B">
        <w:t xml:space="preserve">on 23 January 2026, </w:t>
      </w:r>
      <w:r w:rsidR="00861394">
        <w:t xml:space="preserve">the Claimant served certified Arabic translations of the Recognition Order and the Arbitration Claim Form </w:t>
      </w:r>
      <w:r w:rsidR="00D86A9B">
        <w:t>upon the Defendant</w:t>
      </w:r>
      <w:r w:rsidR="00062CF0">
        <w:t xml:space="preserve"> by: (a)</w:t>
      </w:r>
      <w:r w:rsidR="00861394">
        <w:t xml:space="preserve"> courier</w:t>
      </w:r>
      <w:r w:rsidR="00256FD7">
        <w:t xml:space="preserve"> to the registered address</w:t>
      </w:r>
      <w:r w:rsidR="000867F7" w:rsidRPr="000B6AD0">
        <w:rPr>
          <w:rStyle w:val="FootnoteReference"/>
        </w:rPr>
        <w:footnoteReference w:id="2"/>
      </w:r>
      <w:r w:rsidR="00861394" w:rsidRPr="000B6AD0">
        <w:t xml:space="preserve"> </w:t>
      </w:r>
      <w:r w:rsidR="00256FD7" w:rsidRPr="000B6AD0">
        <w:t>dispatched on 23 January 2026</w:t>
      </w:r>
      <w:r w:rsidR="00861394">
        <w:t>; (</w:t>
      </w:r>
      <w:r w:rsidR="00062CF0">
        <w:t>b</w:t>
      </w:r>
      <w:r w:rsidR="00861394">
        <w:t>) email</w:t>
      </w:r>
      <w:r w:rsidR="00062CF0">
        <w:t xml:space="preserve"> to its officers </w:t>
      </w:r>
      <w:r w:rsidR="007761DA">
        <w:t xml:space="preserve">– </w:t>
      </w:r>
      <w:r w:rsidR="00062CF0">
        <w:t>Mr Adam Green, Mr Ashikur Rahman and Mr Sai Ramesh</w:t>
      </w:r>
      <w:r w:rsidR="00861394">
        <w:t>;</w:t>
      </w:r>
      <w:r w:rsidR="00861394">
        <w:rPr>
          <w:rStyle w:val="FootnoteReference"/>
        </w:rPr>
        <w:footnoteReference w:id="3"/>
      </w:r>
      <w:r w:rsidR="00861394">
        <w:t xml:space="preserve"> and (</w:t>
      </w:r>
      <w:r w:rsidR="00062CF0">
        <w:t>c</w:t>
      </w:r>
      <w:r w:rsidR="00861394">
        <w:t>) attempted personal service</w:t>
      </w:r>
      <w:r w:rsidR="00256FD7">
        <w:t xml:space="preserve"> at the address at </w:t>
      </w:r>
      <w:r w:rsidR="00256FD7" w:rsidRPr="00256FD7">
        <w:t xml:space="preserve">Office No. 2901, 29th Floor, Tiffany Tower, Cluster W, Al </w:t>
      </w:r>
      <w:proofErr w:type="spellStart"/>
      <w:r w:rsidR="00256FD7" w:rsidRPr="00256FD7">
        <w:t>Thanyah</w:t>
      </w:r>
      <w:proofErr w:type="spellEnd"/>
      <w:r w:rsidR="00256FD7" w:rsidRPr="00256FD7">
        <w:t xml:space="preserve"> Fifth, Jumeirah Lakes Towers, Dubai, United Arab Emirates</w:t>
      </w:r>
      <w:r w:rsidR="000867F7">
        <w:t xml:space="preserve">. During the attempted personal service, Mr Ashikur Rahman (who is identified as the Defendant’s Commercial Manager) was present but declined to accept service. For the avoidance of doubt, pursuant to RDC 9.12, personal service on a company may be </w:t>
      </w:r>
      <w:proofErr w:type="gramStart"/>
      <w:r w:rsidR="000867F7">
        <w:t>effected</w:t>
      </w:r>
      <w:proofErr w:type="gramEnd"/>
      <w:r w:rsidR="000867F7">
        <w:t xml:space="preserve"> by leaving documents with a person holding a senior position within the company, including a manager.</w:t>
      </w:r>
      <w:r w:rsidR="00861394">
        <w:t xml:space="preserve"> </w:t>
      </w:r>
    </w:p>
    <w:p w14:paraId="01432553" w14:textId="619F4682" w:rsidR="00861394" w:rsidDel="00BB41CC" w:rsidRDefault="00861394" w:rsidP="00BB7326">
      <w:pPr>
        <w:pStyle w:val="ListParagraph"/>
        <w:numPr>
          <w:ilvl w:val="0"/>
          <w:numId w:val="6"/>
        </w:numPr>
      </w:pPr>
      <w:r>
        <w:lastRenderedPageBreak/>
        <w:t>The Defendant has therefore received Arabic translations of the relevant documents and cannot contend that it lacked notice or understanding of the proceedings.</w:t>
      </w:r>
    </w:p>
    <w:p w14:paraId="26F8BF24" w14:textId="72339FF6" w:rsidR="00BB7326" w:rsidRPr="00351C59" w:rsidRDefault="004D451D" w:rsidP="00BB7326">
      <w:pPr>
        <w:pStyle w:val="ListParagraph"/>
        <w:numPr>
          <w:ilvl w:val="0"/>
          <w:numId w:val="6"/>
        </w:numPr>
        <w:rPr>
          <w:lang w:val="en-IN"/>
        </w:rPr>
      </w:pPr>
      <w:r w:rsidRPr="00351C59">
        <w:rPr>
          <w:b/>
          <w:bCs/>
        </w:rPr>
        <w:t>Third</w:t>
      </w:r>
      <w:r>
        <w:t xml:space="preserve">, </w:t>
      </w:r>
      <w:r w:rsidR="00062CF0">
        <w:t xml:space="preserve">assuming without conceding that service of the Recognition Order </w:t>
      </w:r>
      <w:r>
        <w:t>remains</w:t>
      </w:r>
      <w:r w:rsidR="00062CF0">
        <w:t xml:space="preserve"> invalid, </w:t>
      </w:r>
      <w:r w:rsidR="001030C8">
        <w:t>this Court</w:t>
      </w:r>
      <w:r w:rsidR="00256FD7">
        <w:t>,</w:t>
      </w:r>
      <w:r w:rsidR="001030C8">
        <w:t xml:space="preserve"> </w:t>
      </w:r>
      <w:r w:rsidR="002B7A4E">
        <w:t>under its general power in RDC 4.51(2)</w:t>
      </w:r>
      <w:r w:rsidR="00062CF0">
        <w:t xml:space="preserve"> and </w:t>
      </w:r>
      <w:r w:rsidR="00062CF0" w:rsidRPr="00062CF0">
        <w:t>consistent with the Overriding Objective in RDC 1.6</w:t>
      </w:r>
      <w:r w:rsidR="00062CF0">
        <w:t>,</w:t>
      </w:r>
      <w:r w:rsidR="002B7A4E">
        <w:t xml:space="preserve"> may</w:t>
      </w:r>
      <w:r w:rsidR="001131E9">
        <w:t xml:space="preserve"> remedy a procedural error that does not invalidate any step taken in the proceedings. </w:t>
      </w:r>
    </w:p>
    <w:p w14:paraId="24CEBD0A" w14:textId="72345471" w:rsidR="00BB7326" w:rsidRDefault="00F17D06" w:rsidP="00BB7326">
      <w:pPr>
        <w:pStyle w:val="ListParagraph"/>
        <w:numPr>
          <w:ilvl w:val="1"/>
          <w:numId w:val="6"/>
        </w:numPr>
        <w:rPr>
          <w:lang w:val="en-IN"/>
        </w:rPr>
      </w:pPr>
      <w:r>
        <w:t xml:space="preserve">In the past, this </w:t>
      </w:r>
      <w:r w:rsidR="001131E9">
        <w:t>Court has remedied breach of non-service of</w:t>
      </w:r>
      <w:r w:rsidR="0019633E">
        <w:t xml:space="preserve"> an</w:t>
      </w:r>
      <w:r w:rsidR="001131E9">
        <w:t xml:space="preserve"> Arabic translation under RDC 4.51(2), and has ruled that such rectification is consistent with the overriding objective under RDC 1.6, when </w:t>
      </w:r>
      <w:r w:rsidR="001030C8">
        <w:t xml:space="preserve">no prejudice </w:t>
      </w:r>
      <w:r w:rsidR="001131E9">
        <w:t xml:space="preserve">or </w:t>
      </w:r>
      <w:r w:rsidR="001030C8">
        <w:t xml:space="preserve">injustice is caused to the </w:t>
      </w:r>
      <w:r w:rsidR="00062CF0">
        <w:t>parties</w:t>
      </w:r>
      <w:r w:rsidR="001131E9">
        <w:t xml:space="preserve">: [21], </w:t>
      </w:r>
      <w:r w:rsidR="001131E9" w:rsidRPr="00AF5714">
        <w:rPr>
          <w:i/>
          <w:iCs/>
          <w:lang w:val="en-IN"/>
        </w:rPr>
        <w:t xml:space="preserve">DIFC Investments LLC v Zia </w:t>
      </w:r>
      <w:r w:rsidR="001131E9" w:rsidRPr="00AF5714">
        <w:rPr>
          <w:lang w:val="en-IN"/>
        </w:rPr>
        <w:t>[2017] DIFC CFI 001 (11 April 2017)</w:t>
      </w:r>
      <w:r w:rsidR="00062CF0">
        <w:rPr>
          <w:lang w:val="en-IN"/>
        </w:rPr>
        <w:t>;</w:t>
      </w:r>
      <w:r w:rsidR="0013364E">
        <w:rPr>
          <w:lang w:val="en-IN"/>
        </w:rPr>
        <w:t xml:space="preserve"> </w:t>
      </w:r>
      <w:r w:rsidR="0013364E" w:rsidRPr="0013364E">
        <w:rPr>
          <w:lang w:val="en-IN"/>
        </w:rPr>
        <w:t>DIFC Courts Practice, §4.</w:t>
      </w:r>
      <w:r w:rsidR="0013364E">
        <w:rPr>
          <w:lang w:val="en-IN"/>
        </w:rPr>
        <w:t xml:space="preserve">51.1 and </w:t>
      </w:r>
      <w:r w:rsidR="0013364E" w:rsidRPr="0013364E">
        <w:rPr>
          <w:lang w:val="en-IN"/>
        </w:rPr>
        <w:t>§</w:t>
      </w:r>
      <w:r w:rsidR="0013364E">
        <w:rPr>
          <w:lang w:val="en-IN"/>
        </w:rPr>
        <w:t>9.29.1</w:t>
      </w:r>
      <w:r w:rsidR="001131E9" w:rsidRPr="0013364E">
        <w:rPr>
          <w:lang w:val="en-IN"/>
        </w:rPr>
        <w:t>.</w:t>
      </w:r>
      <w:r w:rsidR="0013364E">
        <w:rPr>
          <w:lang w:val="en-IN"/>
        </w:rPr>
        <w:t xml:space="preserve"> </w:t>
      </w:r>
    </w:p>
    <w:p w14:paraId="7A70F696" w14:textId="3C557E94" w:rsidR="00BB7326" w:rsidRPr="007761DA" w:rsidRDefault="00062CF0" w:rsidP="007761DA">
      <w:pPr>
        <w:pStyle w:val="ListParagraph"/>
        <w:numPr>
          <w:ilvl w:val="1"/>
          <w:numId w:val="6"/>
        </w:numPr>
        <w:rPr>
          <w:lang w:val="en-IN"/>
        </w:rPr>
      </w:pPr>
      <w:r w:rsidRPr="007761DA">
        <w:rPr>
          <w:lang w:val="en-IN"/>
        </w:rPr>
        <w:t>The Defendant is an international commercial entity</w:t>
      </w:r>
      <w:r w:rsidR="007761DA" w:rsidRPr="007761DA">
        <w:rPr>
          <w:lang w:val="en-IN"/>
        </w:rPr>
        <w:t xml:space="preserve"> with</w:t>
      </w:r>
      <w:r w:rsidRPr="007761DA">
        <w:rPr>
          <w:lang w:val="en-IN"/>
        </w:rPr>
        <w:t xml:space="preserve"> </w:t>
      </w:r>
      <w:r w:rsidR="007761DA" w:rsidRPr="007761DA">
        <w:rPr>
          <w:lang w:val="en-IN"/>
        </w:rPr>
        <w:t xml:space="preserve">global operations. Its officers, that the papers have been addressed to – Mr </w:t>
      </w:r>
      <w:r w:rsidR="007761DA">
        <w:t>Adam Green, Mr Ashikur Rahman and Mr Sai Ramesh</w:t>
      </w:r>
      <w:r w:rsidR="007761DA" w:rsidRPr="007761DA">
        <w:rPr>
          <w:lang w:val="en-IN"/>
        </w:rPr>
        <w:t xml:space="preserve"> are all English speakers. Its counsel </w:t>
      </w:r>
      <w:r w:rsidRPr="007761DA">
        <w:rPr>
          <w:lang w:val="en-IN"/>
        </w:rPr>
        <w:t xml:space="preserve">in these proceedings </w:t>
      </w:r>
      <w:r w:rsidR="007761DA" w:rsidRPr="007761DA">
        <w:rPr>
          <w:lang w:val="en-IN"/>
        </w:rPr>
        <w:t>–</w:t>
      </w:r>
      <w:r w:rsidRPr="007761DA">
        <w:rPr>
          <w:lang w:val="en-IN"/>
        </w:rPr>
        <w:t xml:space="preserve"> </w:t>
      </w:r>
      <w:r w:rsidR="007761DA" w:rsidRPr="007761DA">
        <w:rPr>
          <w:lang w:val="en-IN"/>
        </w:rPr>
        <w:t xml:space="preserve">Mr Andrew Lyons from </w:t>
      </w:r>
      <w:r w:rsidRPr="007761DA">
        <w:rPr>
          <w:lang w:val="en-IN"/>
        </w:rPr>
        <w:t>Davidson &amp; Co</w:t>
      </w:r>
      <w:r w:rsidR="007761DA" w:rsidRPr="007761DA">
        <w:rPr>
          <w:lang w:val="en-IN"/>
        </w:rPr>
        <w:t xml:space="preserve">. is also an English speaker. </w:t>
      </w:r>
      <w:r w:rsidR="00612771" w:rsidRPr="00612771">
        <w:t>Given that the Defendant was able to file the Application on 22 January 2026, it is evident that neither the Defendant nor its counsel faced any difficulty in understanding the documents served. The Defendant therefore cannot</w:t>
      </w:r>
      <w:r w:rsidR="007761DA">
        <w:t xml:space="preserve"> credibly</w:t>
      </w:r>
      <w:r w:rsidR="00612771" w:rsidRPr="00612771">
        <w:t xml:space="preserve"> contend</w:t>
      </w:r>
      <w:r w:rsidR="007761DA">
        <w:t xml:space="preserve"> (nor has it)</w:t>
      </w:r>
      <w:r w:rsidR="00612771" w:rsidRPr="00612771">
        <w:t xml:space="preserve"> that it suffered any prejudice or injustice </w:t>
      </w:r>
      <w:proofErr w:type="gramStart"/>
      <w:r w:rsidR="00612771" w:rsidRPr="00612771">
        <w:t>as a result of</w:t>
      </w:r>
      <w:proofErr w:type="gramEnd"/>
      <w:r w:rsidR="00612771" w:rsidRPr="00612771">
        <w:t xml:space="preserve"> </w:t>
      </w:r>
      <w:r w:rsidR="007761DA">
        <w:t xml:space="preserve">the absence of Arabic translations at the time of initial </w:t>
      </w:r>
      <w:r w:rsidR="00612771" w:rsidRPr="00612771">
        <w:t xml:space="preserve">service. </w:t>
      </w:r>
    </w:p>
    <w:p w14:paraId="43CD60D8" w14:textId="45BFBD75" w:rsidR="007761DA" w:rsidRPr="00351C59" w:rsidRDefault="00612771" w:rsidP="007761DA">
      <w:pPr>
        <w:pStyle w:val="ListParagraph"/>
        <w:numPr>
          <w:ilvl w:val="1"/>
          <w:numId w:val="6"/>
        </w:numPr>
        <w:rPr>
          <w:lang w:val="en-IN"/>
        </w:rPr>
      </w:pPr>
      <w:r w:rsidRPr="00612771">
        <w:t>In any event, the Defendant has not pleaded any prejudice or explained how any alleged injustice arose, relying instead on a bare assertion of breach of RDC 9.29.</w:t>
      </w:r>
      <w:r w:rsidR="007761DA">
        <w:t xml:space="preserve"> </w:t>
      </w:r>
    </w:p>
    <w:p w14:paraId="344917E9" w14:textId="547ED62E" w:rsidR="001030C8" w:rsidRPr="00351C59" w:rsidRDefault="0013364E" w:rsidP="007761DA">
      <w:pPr>
        <w:pStyle w:val="ListParagraph"/>
        <w:numPr>
          <w:ilvl w:val="0"/>
          <w:numId w:val="6"/>
        </w:numPr>
        <w:rPr>
          <w:lang w:val="en-IN"/>
        </w:rPr>
      </w:pPr>
      <w:r>
        <w:t>Therefore, this Court may rectify the procedural error and deem the Claimant’s service of the Recognition Order of 7 January 2026 as a valid service by exercise of its powers under RDC 4.51(2)</w:t>
      </w:r>
      <w:r w:rsidR="004D451D">
        <w:t>.</w:t>
      </w:r>
    </w:p>
    <w:p w14:paraId="58831215" w14:textId="35791D6A" w:rsidR="004D451D" w:rsidRDefault="004D451D" w:rsidP="004D451D">
      <w:pPr>
        <w:pStyle w:val="ListParagraph"/>
        <w:numPr>
          <w:ilvl w:val="0"/>
          <w:numId w:val="6"/>
        </w:numPr>
        <w:rPr>
          <w:lang w:val="en-IN"/>
        </w:rPr>
      </w:pPr>
      <w:r w:rsidRPr="00351C59">
        <w:rPr>
          <w:b/>
          <w:bCs/>
          <w:lang w:val="en-IN"/>
        </w:rPr>
        <w:t>Fourth</w:t>
      </w:r>
      <w:r>
        <w:rPr>
          <w:lang w:val="en-IN"/>
        </w:rPr>
        <w:t xml:space="preserve">, and most importantly, the Defendant suggests </w:t>
      </w:r>
      <w:r w:rsidRPr="004D451D">
        <w:rPr>
          <w:lang w:val="en-IN"/>
        </w:rPr>
        <w:t xml:space="preserve">that, if service were found to be defective, </w:t>
      </w:r>
      <w:r>
        <w:rPr>
          <w:lang w:val="en-IN"/>
        </w:rPr>
        <w:t>it</w:t>
      </w:r>
      <w:r w:rsidRPr="004D451D">
        <w:rPr>
          <w:lang w:val="en-IN"/>
        </w:rPr>
        <w:t xml:space="preserve"> should be permitted additional time or latitude to raise further grounds</w:t>
      </w:r>
      <w:r>
        <w:rPr>
          <w:lang w:val="en-IN"/>
        </w:rPr>
        <w:t xml:space="preserve"> for set aside: [47], Green-1</w:t>
      </w:r>
      <w:r w:rsidRPr="004D451D">
        <w:rPr>
          <w:lang w:val="en-IN"/>
        </w:rPr>
        <w:t>. There is no proper basis for such relief.</w:t>
      </w:r>
    </w:p>
    <w:p w14:paraId="0566B730" w14:textId="060EF951" w:rsidR="004D451D" w:rsidRDefault="004D451D" w:rsidP="004D451D">
      <w:pPr>
        <w:pStyle w:val="ListParagraph"/>
        <w:numPr>
          <w:ilvl w:val="1"/>
          <w:numId w:val="6"/>
        </w:numPr>
        <w:rPr>
          <w:lang w:val="en-IN"/>
        </w:rPr>
      </w:pPr>
      <w:r w:rsidRPr="004D451D">
        <w:rPr>
          <w:lang w:val="en-IN"/>
        </w:rPr>
        <w:t>The Defendant has already received the Recognition Order and supporting documents, engaged legal counsel, and filed</w:t>
      </w:r>
      <w:r>
        <w:rPr>
          <w:lang w:val="en-IN"/>
        </w:rPr>
        <w:t xml:space="preserve"> an Acknowledgement of Service and</w:t>
      </w:r>
      <w:r w:rsidRPr="004D451D">
        <w:rPr>
          <w:lang w:val="en-IN"/>
        </w:rPr>
        <w:t xml:space="preserve"> a detailed Application within the </w:t>
      </w:r>
      <w:proofErr w:type="gramStart"/>
      <w:r w:rsidRPr="004D451D">
        <w:rPr>
          <w:lang w:val="en-IN"/>
        </w:rPr>
        <w:t>time period</w:t>
      </w:r>
      <w:proofErr w:type="gramEnd"/>
      <w:r w:rsidRPr="004D451D">
        <w:rPr>
          <w:lang w:val="en-IN"/>
        </w:rPr>
        <w:t xml:space="preserve"> specified in the Recognition Order. The Defendant has therefore had a full and fair opportunity to identify and advance all grounds on which it seeks to resist </w:t>
      </w:r>
      <w:r w:rsidR="00DA37A8">
        <w:rPr>
          <w:lang w:val="en-IN"/>
        </w:rPr>
        <w:t>the Recognition Order</w:t>
      </w:r>
      <w:r w:rsidRPr="004D451D">
        <w:rPr>
          <w:lang w:val="en-IN"/>
        </w:rPr>
        <w:t>.</w:t>
      </w:r>
    </w:p>
    <w:p w14:paraId="18059CD9" w14:textId="77777777" w:rsidR="004D451D" w:rsidRDefault="004D451D" w:rsidP="004D451D">
      <w:pPr>
        <w:pStyle w:val="ListParagraph"/>
        <w:numPr>
          <w:ilvl w:val="1"/>
          <w:numId w:val="6"/>
        </w:numPr>
        <w:rPr>
          <w:lang w:val="en-IN"/>
        </w:rPr>
      </w:pPr>
      <w:r w:rsidRPr="004D451D">
        <w:rPr>
          <w:lang w:val="en-IN"/>
        </w:rPr>
        <w:t>The Defendant has not identified any additional grounds that it was unable to raise, nor has it explained how any alleged defect in service prevented it from doing so. In those circumstances, there is no injustice to be remedied and no basis for extending time or permitting the Defendant to advance further grounds.</w:t>
      </w:r>
    </w:p>
    <w:p w14:paraId="20EB931B" w14:textId="6B0E209A" w:rsidR="004D451D" w:rsidRPr="004D451D" w:rsidRDefault="004D451D" w:rsidP="004D451D">
      <w:pPr>
        <w:pStyle w:val="ListParagraph"/>
        <w:numPr>
          <w:ilvl w:val="1"/>
          <w:numId w:val="6"/>
        </w:numPr>
        <w:rPr>
          <w:lang w:val="en-IN"/>
        </w:rPr>
      </w:pPr>
      <w:r w:rsidRPr="004D451D">
        <w:rPr>
          <w:lang w:val="en-IN"/>
        </w:rPr>
        <w:t>Allowing the Defendant to raise new grounds or seek additional time in the absence of any demonstrated prejudice would undermine procedural finality and be inconsistent with the Overriding Objective under RDC 1.6.</w:t>
      </w:r>
    </w:p>
    <w:p w14:paraId="3757AE25" w14:textId="1E7FE1B8" w:rsidR="00AF5714" w:rsidRDefault="007761DA" w:rsidP="00BB7326">
      <w:pPr>
        <w:pStyle w:val="Heading1"/>
      </w:pPr>
      <w:r>
        <w:t>The</w:t>
      </w:r>
      <w:r w:rsidR="006E46A9">
        <w:t>re is no</w:t>
      </w:r>
      <w:r>
        <w:t xml:space="preserve"> </w:t>
      </w:r>
      <w:r w:rsidR="004D451D">
        <w:t xml:space="preserve">arguable </w:t>
      </w:r>
      <w:r w:rsidR="00AF5714">
        <w:t xml:space="preserve">Jurisdictional Challenge </w:t>
      </w:r>
    </w:p>
    <w:p w14:paraId="0C838E42" w14:textId="4B48D2C8" w:rsidR="00132E0F" w:rsidRDefault="007761DA" w:rsidP="00BB7326">
      <w:pPr>
        <w:pStyle w:val="ListParagraph"/>
        <w:numPr>
          <w:ilvl w:val="0"/>
          <w:numId w:val="6"/>
        </w:numPr>
      </w:pPr>
      <w:r w:rsidRPr="00351C59">
        <w:t>A</w:t>
      </w:r>
      <w:r w:rsidR="000F175E">
        <w:t>s a preliminary matter</w:t>
      </w:r>
      <w:r w:rsidRPr="00351C59">
        <w:t>,</w:t>
      </w:r>
      <w:r>
        <w:rPr>
          <w:b/>
          <w:bCs/>
        </w:rPr>
        <w:t xml:space="preserve"> </w:t>
      </w:r>
      <w:r w:rsidR="000F175E">
        <w:t>a</w:t>
      </w:r>
      <w:r w:rsidR="00612771" w:rsidRPr="00612771">
        <w:t xml:space="preserve">ny challenge to </w:t>
      </w:r>
      <w:r w:rsidR="004D451D">
        <w:t xml:space="preserve">the </w:t>
      </w:r>
      <w:r w:rsidR="000F175E">
        <w:t xml:space="preserve">DIFC Courts’ </w:t>
      </w:r>
      <w:r w:rsidR="00612771" w:rsidRPr="00612771">
        <w:t xml:space="preserve">jurisdiction must be brought strictly under RDC Part 12. </w:t>
      </w:r>
      <w:r w:rsidR="000F175E">
        <w:t xml:space="preserve">Pursuant to </w:t>
      </w:r>
      <w:r w:rsidR="00612771" w:rsidRPr="00612771">
        <w:t>RDC 12.2</w:t>
      </w:r>
      <w:r w:rsidR="000F175E">
        <w:t xml:space="preserve">, </w:t>
      </w:r>
      <w:r w:rsidR="000F175E" w:rsidRPr="000F175E">
        <w:t xml:space="preserve">a defendant who intends to challenge the Court’s jurisdiction is required to </w:t>
      </w:r>
      <w:r w:rsidR="000F175E" w:rsidRPr="000F175E">
        <w:lastRenderedPageBreak/>
        <w:t>file an Acknowledgment of Service under RDC Part 11, stating its intention to do so.</w:t>
      </w:r>
      <w:r w:rsidR="000F175E">
        <w:t xml:space="preserve"> </w:t>
      </w:r>
      <w:r w:rsidR="000F175E" w:rsidRPr="000F175E">
        <w:t xml:space="preserve">Further, under RDC 11.7, a party </w:t>
      </w:r>
      <w:r w:rsidR="004D451D">
        <w:t>that</w:t>
      </w:r>
      <w:r w:rsidR="000F175E" w:rsidRPr="000F175E">
        <w:t xml:space="preserve"> files an Acknowledgment of Service is required to serve </w:t>
      </w:r>
      <w:r w:rsidR="000F175E">
        <w:t>it</w:t>
      </w:r>
      <w:r w:rsidR="000F175E" w:rsidRPr="000F175E">
        <w:t xml:space="preserve"> on the other parties.</w:t>
      </w:r>
      <w:r w:rsidR="000F175E">
        <w:t xml:space="preserve"> In the present case, the Defendant has not served the Claimant with its Acknowledgment of Service. In the absence of such service, the Claimant is unable to ascertain whether the Defendant has complied with the procedural requirements of RDC Part 12 in making its jurisdictional challenge.</w:t>
      </w:r>
    </w:p>
    <w:p w14:paraId="47A1AF56" w14:textId="36E5C776" w:rsidR="00DE41A4" w:rsidRDefault="000F175E" w:rsidP="00EF01FC">
      <w:pPr>
        <w:pStyle w:val="ListParagraph"/>
        <w:numPr>
          <w:ilvl w:val="0"/>
          <w:numId w:val="6"/>
        </w:numPr>
      </w:pPr>
      <w:r w:rsidRPr="00351C59">
        <w:t>I</w:t>
      </w:r>
      <w:r w:rsidR="003B2E34" w:rsidRPr="003B2E34">
        <w:t xml:space="preserve">n any event, </w:t>
      </w:r>
      <w:r w:rsidR="00612771">
        <w:t xml:space="preserve">the Defendant’s </w:t>
      </w:r>
      <w:r>
        <w:t xml:space="preserve">so-called jurisdictional challenge </w:t>
      </w:r>
      <w:r w:rsidR="003B2E34" w:rsidRPr="003B2E34">
        <w:t>is wholly without merit.</w:t>
      </w:r>
      <w:r w:rsidR="006C0119">
        <w:t xml:space="preserve"> </w:t>
      </w:r>
      <w:r w:rsidRPr="000F175E">
        <w:t xml:space="preserve">The Defendant seeks to characterise its </w:t>
      </w:r>
      <w:proofErr w:type="gramStart"/>
      <w:r w:rsidRPr="000F175E">
        <w:t>Application</w:t>
      </w:r>
      <w:proofErr w:type="gramEnd"/>
      <w:r w:rsidRPr="000F175E">
        <w:t xml:space="preserve"> as a challenge to the DIFC Courts’ jurisdiction on the basis that this Court allegedly lacks </w:t>
      </w:r>
      <w:r w:rsidR="00DE41A4">
        <w:t>“</w:t>
      </w:r>
      <w:r w:rsidR="00DE41A4" w:rsidRPr="00351C59">
        <w:rPr>
          <w:i/>
          <w:iCs/>
        </w:rPr>
        <w:t>jurisdiction to recognise or enforce foreign arbitral awards where there is no direct asset link in the DIFC and no prospect of any enforcement action within the DIFC</w:t>
      </w:r>
      <w:r w:rsidR="00DE41A4">
        <w:t>”</w:t>
      </w:r>
      <w:r w:rsidRPr="000F175E">
        <w:t xml:space="preserve">. </w:t>
      </w:r>
      <w:r w:rsidR="00DE41A4">
        <w:t xml:space="preserve"> </w:t>
      </w:r>
    </w:p>
    <w:p w14:paraId="7D6B4C8C" w14:textId="21AD5151" w:rsidR="005A060B" w:rsidRDefault="00DE41A4" w:rsidP="00EF01FC">
      <w:pPr>
        <w:pStyle w:val="ListParagraph"/>
        <w:numPr>
          <w:ilvl w:val="0"/>
          <w:numId w:val="6"/>
        </w:numPr>
      </w:pPr>
      <w:r>
        <w:t xml:space="preserve">This argument is a non-starter. </w:t>
      </w:r>
      <w:r w:rsidR="005A060B">
        <w:t>The DIFC Courts have a long and well-established history of recognising and enforcing arbitral awards irrespective of whether the parties have assets within the DIFC or whether enforcement is immediately contemplated there</w:t>
      </w:r>
      <w:r w:rsidR="006E46A9">
        <w:t xml:space="preserve">: [116], </w:t>
      </w:r>
      <w:r w:rsidR="006E46A9" w:rsidRPr="003663E6">
        <w:rPr>
          <w:i/>
          <w:iCs/>
        </w:rPr>
        <w:t>Trafigura v Gupta</w:t>
      </w:r>
      <w:r w:rsidR="006E46A9" w:rsidRPr="00E13583">
        <w:t xml:space="preserve"> [2025] DIFC CA 001</w:t>
      </w:r>
      <w:r w:rsidR="006E46A9">
        <w:t>.</w:t>
      </w:r>
    </w:p>
    <w:p w14:paraId="1150DEC0" w14:textId="1051D56E" w:rsidR="005A060B" w:rsidRDefault="005A060B" w:rsidP="00EF01FC">
      <w:pPr>
        <w:pStyle w:val="ListParagraph"/>
        <w:numPr>
          <w:ilvl w:val="0"/>
          <w:numId w:val="6"/>
        </w:numPr>
      </w:pPr>
      <w:r w:rsidRPr="005A060B">
        <w:t xml:space="preserve">Far from restricting that jurisdiction, the New DIFC Courts Law </w:t>
      </w:r>
      <w:r w:rsidR="00620339">
        <w:t>No. 2 of 2025 (“</w:t>
      </w:r>
      <w:r w:rsidR="00620339" w:rsidRPr="008217CA">
        <w:rPr>
          <w:b/>
          <w:bCs/>
        </w:rPr>
        <w:t>New DIFC Courts Law</w:t>
      </w:r>
      <w:r w:rsidR="00620339">
        <w:t xml:space="preserve">”) </w:t>
      </w:r>
      <w:r w:rsidRPr="005A060B">
        <w:t>has reinforced it. Article 14(A)(5) now provides an express and independent jurisdictional gateway for claims and applications for the ratification or recognition of arbitral awards, in accordance with the DIFC Arbitration Law</w:t>
      </w:r>
      <w:r w:rsidR="00620339">
        <w:t xml:space="preserve"> No. 1 of 2008 (“</w:t>
      </w:r>
      <w:r w:rsidR="00620339" w:rsidRPr="008217CA">
        <w:rPr>
          <w:b/>
          <w:bCs/>
        </w:rPr>
        <w:t>DIFC Arbitration Law</w:t>
      </w:r>
      <w:r w:rsidR="00620339">
        <w:t>”)</w:t>
      </w:r>
      <w:r w:rsidRPr="005A060B">
        <w:t xml:space="preserve">. </w:t>
      </w:r>
    </w:p>
    <w:p w14:paraId="6954FD19" w14:textId="47C20B18" w:rsidR="005A060B" w:rsidRDefault="005A060B" w:rsidP="00EF01FC">
      <w:pPr>
        <w:pStyle w:val="ListParagraph"/>
        <w:numPr>
          <w:ilvl w:val="0"/>
          <w:numId w:val="6"/>
        </w:numPr>
      </w:pPr>
      <w:r w:rsidRPr="005A060B">
        <w:t>Articles 42 to 44 of the DIFC Arbitration Law expressly confirm the DIFC Courts’ jurisdiction and powers to recognise and enforce arbitral awards, irrespective of the seat of arbitration</w:t>
      </w:r>
      <w:r>
        <w:t xml:space="preserve"> and without any mention of an asset link.</w:t>
      </w:r>
    </w:p>
    <w:p w14:paraId="0D467881" w14:textId="71D0D36A" w:rsidR="00E13583" w:rsidRPr="00E13583" w:rsidRDefault="005A060B" w:rsidP="005A060B">
      <w:pPr>
        <w:pStyle w:val="ListParagraph"/>
        <w:numPr>
          <w:ilvl w:val="0"/>
          <w:numId w:val="6"/>
        </w:numPr>
      </w:pPr>
      <w:r>
        <w:t>Any suggestion that the DIFC Courts’ conduit jurisdiction has been removed under the New DIFC Courts Law has been decisively rejected by the DIFC Court of Appeal. In</w:t>
      </w:r>
      <w:r w:rsidR="00E13583" w:rsidRPr="00E13583">
        <w:t xml:space="preserve"> </w:t>
      </w:r>
      <w:r w:rsidR="00E13583" w:rsidRPr="003663E6">
        <w:rPr>
          <w:i/>
          <w:iCs/>
        </w:rPr>
        <w:t>Trafigura v Gupta</w:t>
      </w:r>
      <w:r w:rsidR="00E13583" w:rsidRPr="00E13583">
        <w:t xml:space="preserve"> [2025] DIFC CA 001, </w:t>
      </w:r>
      <w:r>
        <w:t>the Court</w:t>
      </w:r>
      <w:r w:rsidR="00C70DDD">
        <w:t xml:space="preserve"> held </w:t>
      </w:r>
      <w:r w:rsidR="00C70DDD" w:rsidRPr="00E13583">
        <w:t>at [137]</w:t>
      </w:r>
      <w:r w:rsidR="00C70DDD">
        <w:t xml:space="preserve"> that</w:t>
      </w:r>
      <w:r w:rsidR="00E13583" w:rsidRPr="00E13583">
        <w:t xml:space="preserve"> </w:t>
      </w:r>
      <w:r w:rsidR="00C70DDD">
        <w:t>the</w:t>
      </w:r>
      <w:r w:rsidR="00E13583" w:rsidRPr="00E13583">
        <w:t xml:space="preserve"> DIFC Courts retain the conduit jurisdiction under the New DIFC Courts Law, well-established by the preceding law</w:t>
      </w:r>
      <w:r w:rsidR="006E46A9">
        <w:t>, irrespective of assets within the DIFC</w:t>
      </w:r>
      <w:r w:rsidR="00C70DDD">
        <w:t xml:space="preserve">. </w:t>
      </w:r>
    </w:p>
    <w:p w14:paraId="1E4BA494" w14:textId="0F0BF5A4" w:rsidR="00F8789B" w:rsidRDefault="006E46A9" w:rsidP="00BB7326">
      <w:pPr>
        <w:pStyle w:val="Heading1"/>
      </w:pPr>
      <w:r>
        <w:t xml:space="preserve">There are no grounds </w:t>
      </w:r>
      <w:r w:rsidR="00FD31FA">
        <w:t>for setting aside the recognition order</w:t>
      </w:r>
    </w:p>
    <w:p w14:paraId="660A0223" w14:textId="77777777" w:rsidR="006E46A9" w:rsidRDefault="006E46A9" w:rsidP="006E46A9">
      <w:pPr>
        <w:pStyle w:val="ListParagraph"/>
        <w:widowControl w:val="0"/>
        <w:numPr>
          <w:ilvl w:val="0"/>
          <w:numId w:val="6"/>
        </w:numPr>
      </w:pPr>
      <w:r>
        <w:t xml:space="preserve">The Defendant seeks to set aside the Recognition Order pursuant to </w:t>
      </w:r>
      <w:r w:rsidRPr="00D458BF">
        <w:rPr>
          <w:rStyle w:val="Strong"/>
          <w:b w:val="0"/>
          <w:bCs w:val="0"/>
        </w:rPr>
        <w:t>Article 44(1)(a)(iv) of the DIFC Arbitration Law</w:t>
      </w:r>
      <w:r>
        <w:t>, on the basis that the composition of the arbitral tribunal was allegedly not in accordance with the agreement of the parties.</w:t>
      </w:r>
    </w:p>
    <w:p w14:paraId="2900E955" w14:textId="77777777" w:rsidR="006E46A9" w:rsidRDefault="006E46A9" w:rsidP="006E46A9">
      <w:pPr>
        <w:pStyle w:val="ListParagraph"/>
        <w:widowControl w:val="0"/>
        <w:numPr>
          <w:ilvl w:val="0"/>
          <w:numId w:val="6"/>
        </w:numPr>
      </w:pPr>
      <w:r w:rsidRPr="005330C9">
        <w:t xml:space="preserve">This ground </w:t>
      </w:r>
      <w:r>
        <w:t xml:space="preserve">too, </w:t>
      </w:r>
      <w:r w:rsidRPr="005330C9">
        <w:t>is a non-starter. The Defendant has failed to establish any departure from the parties’ agreement, let alone one capable of engaging Article 44(1)(a)(iv).</w:t>
      </w:r>
    </w:p>
    <w:p w14:paraId="23043BF2" w14:textId="15C88B00" w:rsidR="006E46A9" w:rsidRDefault="000878D7" w:rsidP="006E46A9">
      <w:pPr>
        <w:pStyle w:val="ListParagraph"/>
        <w:widowControl w:val="0"/>
        <w:numPr>
          <w:ilvl w:val="1"/>
          <w:numId w:val="6"/>
        </w:numPr>
      </w:pPr>
      <w:r>
        <w:t>The Defendant does not contend</w:t>
      </w:r>
      <w:r w:rsidR="004A089F">
        <w:t xml:space="preserve"> in the Application</w:t>
      </w:r>
      <w:r>
        <w:t xml:space="preserve"> that the SIAC Rules were not incorporated into the Arbitration Agreement.</w:t>
      </w:r>
    </w:p>
    <w:p w14:paraId="747C7320" w14:textId="4C70BBF0" w:rsidR="006E46A9" w:rsidRDefault="00E2633E" w:rsidP="006E46A9">
      <w:pPr>
        <w:pStyle w:val="ListParagraph"/>
        <w:widowControl w:val="0"/>
        <w:numPr>
          <w:ilvl w:val="1"/>
          <w:numId w:val="6"/>
        </w:numPr>
      </w:pPr>
      <w:r>
        <w:t>Rule 1.1 of the SIAC Rules provides that</w:t>
      </w:r>
      <w:r w:rsidR="000878D7">
        <w:t xml:space="preserve"> the arbitration would be conducted and administered in accordance with those Rules. </w:t>
      </w:r>
    </w:p>
    <w:p w14:paraId="7B7FBCDA" w14:textId="6D01E544" w:rsidR="000878D7" w:rsidRDefault="000878D7" w:rsidP="006E46A9">
      <w:pPr>
        <w:pStyle w:val="ListParagraph"/>
        <w:widowControl w:val="0"/>
        <w:numPr>
          <w:ilvl w:val="1"/>
          <w:numId w:val="6"/>
        </w:numPr>
      </w:pPr>
      <w:r w:rsidRPr="000878D7">
        <w:t>The SIAC Rules expressly provide for the application of the Expedited Procedure. Under Rule 5.2, where the Expedited Procedure applies, the arbitration is to be conducted by a sole arbitrator, unless the SIAC President determines otherwise.</w:t>
      </w:r>
      <w:r>
        <w:t xml:space="preserve"> </w:t>
      </w:r>
      <w:r w:rsidRPr="000878D7">
        <w:t xml:space="preserve">Rule 5.3 further provides that, where the Expedited Procedure applies, </w:t>
      </w:r>
      <w:r w:rsidRPr="000878D7">
        <w:lastRenderedPageBreak/>
        <w:t>Rule 5.2 prevails even if the arbitration agreement contains contrary terms as to the number of arbitrators.</w:t>
      </w:r>
    </w:p>
    <w:p w14:paraId="7CC548E0" w14:textId="14D84EC7" w:rsidR="000878D7" w:rsidRDefault="000878D7" w:rsidP="006E46A9">
      <w:pPr>
        <w:pStyle w:val="ListParagraph"/>
        <w:widowControl w:val="0"/>
        <w:numPr>
          <w:ilvl w:val="1"/>
          <w:numId w:val="6"/>
        </w:numPr>
      </w:pPr>
      <w:r w:rsidRPr="000878D7">
        <w:t>Accordingly, where the SIAC Rules apply</w:t>
      </w:r>
      <w:r>
        <w:t>,</w:t>
      </w:r>
      <w:r w:rsidRPr="000878D7">
        <w:t xml:space="preserve"> and the Expedited Procedure is validly invoked, the appointment of a sole arbitrator is part of the parties’ agreement, notwithstanding any reference in the arbitration clause to a three-member tribunal.</w:t>
      </w:r>
    </w:p>
    <w:p w14:paraId="433EFB2E" w14:textId="3750CA4E" w:rsidR="000878D7" w:rsidRDefault="00B37302" w:rsidP="00BB7326">
      <w:pPr>
        <w:pStyle w:val="ListParagraph"/>
        <w:widowControl w:val="0"/>
        <w:numPr>
          <w:ilvl w:val="0"/>
          <w:numId w:val="6"/>
        </w:numPr>
      </w:pPr>
      <w:r>
        <w:t>I am advised that t</w:t>
      </w:r>
      <w:r w:rsidR="000878D7" w:rsidRPr="00351C59">
        <w:t xml:space="preserve">his position is confirmed by the law of the seat. Under Singapore law, the High Court of Singapore in </w:t>
      </w:r>
      <w:r w:rsidR="000878D7" w:rsidRPr="00351C59">
        <w:rPr>
          <w:i/>
          <w:iCs/>
        </w:rPr>
        <w:t>AQZ v ARA</w:t>
      </w:r>
      <w:r w:rsidR="000878D7" w:rsidRPr="00351C59">
        <w:t xml:space="preserve"> [2015] SGHC 49 rejected a challenge to an award rendered under the SIAC Expedited Procedure where the arbitration clause referred to three arbitrators.</w:t>
      </w:r>
      <w:r w:rsidR="00074B73">
        <w:t xml:space="preserve"> Pertinently, the court held that t</w:t>
      </w:r>
      <w:r w:rsidR="00074B73" w:rsidRPr="00074B73">
        <w:t>he Expedited Procedure provision</w:t>
      </w:r>
      <w:r w:rsidR="00074B73">
        <w:t xml:space="preserve"> (of the then-effective 2010 SIAC Arbitration Rules)</w:t>
      </w:r>
      <w:r w:rsidR="005B7A5B">
        <w:t>,</w:t>
      </w:r>
      <w:r w:rsidR="00074B73" w:rsidRPr="00074B73">
        <w:t xml:space="preserve"> which allowed for arbitration before a sole arbitrator</w:t>
      </w:r>
      <w:r w:rsidR="005B7A5B">
        <w:t>,</w:t>
      </w:r>
      <w:r w:rsidR="00074B73" w:rsidRPr="00074B73">
        <w:t xml:space="preserve"> could override the parties’ agreement for arbitration before three arbitrators since </w:t>
      </w:r>
      <w:r w:rsidR="00074B73">
        <w:t>those rules</w:t>
      </w:r>
      <w:r w:rsidR="00074B73" w:rsidRPr="00074B73">
        <w:t xml:space="preserve"> had been incorporated into the </w:t>
      </w:r>
      <w:r w:rsidR="00074B73">
        <w:t>p</w:t>
      </w:r>
      <w:r w:rsidR="00074B73" w:rsidRPr="00074B73">
        <w:t>arties’ contract.</w:t>
      </w:r>
      <w:r w:rsidR="000878D7" w:rsidRPr="00351C59">
        <w:t xml:space="preserve"> The </w:t>
      </w:r>
      <w:r w:rsidR="00620339">
        <w:t>c</w:t>
      </w:r>
      <w:r w:rsidR="000878D7" w:rsidRPr="00351C59">
        <w:t>ourt held that the SIAC President had the power to appoint a sole arbitrator pursuant to the SIAC Rules and that a party seeking to invalidate such an appointment must demonstrate a material or serious breach</w:t>
      </w:r>
      <w:r w:rsidR="00074B73">
        <w:t xml:space="preserve"> and demonstrable prejudice suffered by it </w:t>
      </w:r>
      <w:proofErr w:type="gramStart"/>
      <w:r w:rsidR="00074B73">
        <w:t>as a result of</w:t>
      </w:r>
      <w:proofErr w:type="gramEnd"/>
      <w:r w:rsidR="00074B73">
        <w:t xml:space="preserve"> such a breach</w:t>
      </w:r>
      <w:r w:rsidR="000878D7" w:rsidRPr="00351C59">
        <w:t>.</w:t>
      </w:r>
    </w:p>
    <w:p w14:paraId="0A75BA12" w14:textId="49592810" w:rsidR="000878D7" w:rsidRDefault="000878D7" w:rsidP="00BB7326">
      <w:pPr>
        <w:pStyle w:val="ListParagraph"/>
        <w:widowControl w:val="0"/>
        <w:numPr>
          <w:ilvl w:val="0"/>
          <w:numId w:val="6"/>
        </w:numPr>
      </w:pPr>
      <w:r w:rsidRPr="000878D7">
        <w:t>The Defendant has not identified any such material or serious breach</w:t>
      </w:r>
      <w:r w:rsidR="005B7A5B">
        <w:t>, let alone any demonstrable prejudiced allegedly suffered by it</w:t>
      </w:r>
      <w:r w:rsidRPr="000878D7">
        <w:t xml:space="preserve">. Instead, at </w:t>
      </w:r>
      <w:r w:rsidR="00620339">
        <w:t>[</w:t>
      </w:r>
      <w:r w:rsidRPr="000878D7">
        <w:t>55</w:t>
      </w:r>
      <w:r w:rsidR="00620339">
        <w:t>]</w:t>
      </w:r>
      <w:r w:rsidRPr="000878D7">
        <w:t xml:space="preserve"> of Green-1, it advances only a bare assertion that the appointment of a sole arbitrator “</w:t>
      </w:r>
      <w:r w:rsidRPr="00351C59">
        <w:rPr>
          <w:i/>
          <w:iCs/>
        </w:rPr>
        <w:t>had material impact</w:t>
      </w:r>
      <w:r w:rsidRPr="000878D7">
        <w:t>” on the treatment of its arguments, without any supporting explanation.</w:t>
      </w:r>
    </w:p>
    <w:p w14:paraId="35F9D1F4" w14:textId="5413BC04" w:rsidR="000878D7" w:rsidRDefault="00114F26" w:rsidP="00BB7326">
      <w:pPr>
        <w:pStyle w:val="ListParagraph"/>
        <w:widowControl w:val="0"/>
        <w:numPr>
          <w:ilvl w:val="0"/>
          <w:numId w:val="6"/>
        </w:numPr>
      </w:pPr>
      <w:r>
        <w:t xml:space="preserve">Therefore, the Defendant cannot rely on Article 44(1)(a)(iv) of the DIFC Arbitration Law. </w:t>
      </w:r>
    </w:p>
    <w:p w14:paraId="0C52FAC7" w14:textId="620A2082" w:rsidR="00114F26" w:rsidRDefault="00114F26" w:rsidP="00114F26">
      <w:pPr>
        <w:pStyle w:val="ListParagraph"/>
        <w:widowControl w:val="0"/>
        <w:numPr>
          <w:ilvl w:val="0"/>
          <w:numId w:val="6"/>
        </w:numPr>
      </w:pPr>
      <w:r>
        <w:t>Moreover</w:t>
      </w:r>
      <w:r w:rsidRPr="00114F26">
        <w:t>,</w:t>
      </w:r>
      <w:r>
        <w:t xml:space="preserve"> this matter has</w:t>
      </w:r>
      <w:r w:rsidR="007B739C">
        <w:t xml:space="preserve"> already</w:t>
      </w:r>
      <w:r>
        <w:t xml:space="preserve"> been</w:t>
      </w:r>
      <w:r w:rsidR="007B739C">
        <w:t xml:space="preserve"> considered and</w:t>
      </w:r>
      <w:r>
        <w:t xml:space="preserve"> decided by the </w:t>
      </w:r>
      <w:r w:rsidR="00620339">
        <w:t>Tribunal</w:t>
      </w:r>
      <w:r>
        <w:t>.</w:t>
      </w:r>
    </w:p>
    <w:p w14:paraId="3997F4FA" w14:textId="2DC1BDA0" w:rsidR="00114F26" w:rsidRDefault="00114F26" w:rsidP="00114F26">
      <w:pPr>
        <w:pStyle w:val="ListParagraph"/>
        <w:widowControl w:val="0"/>
        <w:numPr>
          <w:ilvl w:val="1"/>
          <w:numId w:val="6"/>
        </w:numPr>
      </w:pPr>
      <w:r>
        <w:t>T</w:t>
      </w:r>
      <w:r w:rsidRPr="00114F26">
        <w:t>he Defendant accepts that it raised this very objection during the arbitration</w:t>
      </w:r>
      <w:r>
        <w:t xml:space="preserve">: </w:t>
      </w:r>
      <w:r w:rsidR="00CE526C">
        <w:t xml:space="preserve">[52] </w:t>
      </w:r>
      <w:r>
        <w:t>of Green-1</w:t>
      </w:r>
      <w:r w:rsidR="00256FD7">
        <w:t xml:space="preserve"> and </w:t>
      </w:r>
      <w:r w:rsidR="00256FD7">
        <w:rPr>
          <w:rStyle w:val="Strong"/>
          <w:b w:val="0"/>
          <w:bCs w:val="0"/>
        </w:rPr>
        <w:t>[18(b)]</w:t>
      </w:r>
      <w:r w:rsidR="00620339">
        <w:rPr>
          <w:rStyle w:val="Strong"/>
          <w:b w:val="0"/>
          <w:bCs w:val="0"/>
        </w:rPr>
        <w:t>-</w:t>
      </w:r>
      <w:r w:rsidR="00256FD7">
        <w:rPr>
          <w:rStyle w:val="Strong"/>
          <w:b w:val="0"/>
          <w:bCs w:val="0"/>
        </w:rPr>
        <w:t>[18(e)] of Singh-1.</w:t>
      </w:r>
    </w:p>
    <w:p w14:paraId="609312B2" w14:textId="1E33A300" w:rsidR="00114F26" w:rsidRDefault="00114F26" w:rsidP="00351C59">
      <w:pPr>
        <w:pStyle w:val="ListParagraph"/>
        <w:widowControl w:val="0"/>
        <w:numPr>
          <w:ilvl w:val="1"/>
          <w:numId w:val="6"/>
        </w:numPr>
      </w:pPr>
      <w:r w:rsidRPr="00114F26">
        <w:t>The Sole Arbitrator considered and rejected the Defendant’s challenge in a reasoned Decision on Jurisdiction dated 18 August 2025, determining, among other things, that:</w:t>
      </w:r>
      <w:r>
        <w:t xml:space="preserve"> (a) the parties had agreed to arbitration under the SIAC Rules; (b) the Expedited Procedure was validly applied; and (c) pursuant to Rules 5.2 and 5.3, the constitution of the Tribunal was mandatory notwithstanding any contrary provision in the arbitration agreement. </w:t>
      </w:r>
      <w:r w:rsidR="00256FD7">
        <w:t>Notably, t</w:t>
      </w:r>
      <w:r w:rsidR="00256FD7" w:rsidRPr="00AC4DAB">
        <w:t>he Tribunal expressly rejected the Defendant’s reliance on Article V(1)(d) of the New York Convention</w:t>
      </w:r>
      <w:r w:rsidR="00256FD7">
        <w:t>,</w:t>
      </w:r>
      <w:r w:rsidR="00256FD7" w:rsidRPr="00AC4DAB">
        <w:t xml:space="preserve"> conclud</w:t>
      </w:r>
      <w:r w:rsidR="00256FD7">
        <w:t>ing</w:t>
      </w:r>
      <w:r w:rsidR="00256FD7" w:rsidRPr="00AC4DAB">
        <w:t xml:space="preserve"> that the constitution of the Tribunal was in accordance with the </w:t>
      </w:r>
      <w:r w:rsidR="00256FD7">
        <w:t>Arbitration Agreement,</w:t>
      </w:r>
      <w:r w:rsidR="00256FD7" w:rsidRPr="00AC4DAB">
        <w:t xml:space="preserve"> and dismissed the Defendant’s objection in its entirety</w:t>
      </w:r>
      <w:r w:rsidR="00256FD7">
        <w:t>.</w:t>
      </w:r>
      <w:r w:rsidR="00256FD7">
        <w:rPr>
          <w:rStyle w:val="FootnoteReference"/>
        </w:rPr>
        <w:footnoteReference w:id="4"/>
      </w:r>
      <w:r w:rsidR="00256FD7">
        <w:t xml:space="preserve"> </w:t>
      </w:r>
    </w:p>
    <w:p w14:paraId="66A15127" w14:textId="3EEDC4AD" w:rsidR="007B739C" w:rsidRDefault="007B739C" w:rsidP="007B739C">
      <w:pPr>
        <w:pStyle w:val="ListParagraph"/>
        <w:widowControl w:val="0"/>
        <w:numPr>
          <w:ilvl w:val="1"/>
          <w:numId w:val="6"/>
        </w:numPr>
      </w:pPr>
      <w:r>
        <w:t xml:space="preserve">Notably, the Defendant has not </w:t>
      </w:r>
      <w:r w:rsidRPr="007B739C">
        <w:t>identif</w:t>
      </w:r>
      <w:r>
        <w:t>ied</w:t>
      </w:r>
      <w:r w:rsidRPr="007B739C">
        <w:t xml:space="preserve"> any error in the Tribunal’s reasoning or point</w:t>
      </w:r>
      <w:r>
        <w:t>ed</w:t>
      </w:r>
      <w:r w:rsidRPr="007B739C">
        <w:t xml:space="preserve"> to any material not already before the Tribunal</w:t>
      </w:r>
      <w:r>
        <w:t>.</w:t>
      </w:r>
    </w:p>
    <w:p w14:paraId="1DE0C346" w14:textId="35AB48BE" w:rsidR="00256FD7" w:rsidRDefault="00B37302" w:rsidP="00114F26">
      <w:pPr>
        <w:pStyle w:val="ListParagraph"/>
        <w:widowControl w:val="0"/>
        <w:numPr>
          <w:ilvl w:val="1"/>
          <w:numId w:val="6"/>
        </w:numPr>
      </w:pPr>
      <w:r>
        <w:t>I am advised that u</w:t>
      </w:r>
      <w:r w:rsidR="00114F26" w:rsidRPr="00114F26">
        <w:t>nder section 10</w:t>
      </w:r>
      <w:r w:rsidR="00FC48BB">
        <w:t>(3)</w:t>
      </w:r>
      <w:r w:rsidR="00114F26" w:rsidRPr="00114F26">
        <w:t xml:space="preserve"> of the Singapore International Arbitration Act</w:t>
      </w:r>
      <w:r w:rsidR="00620339">
        <w:t xml:space="preserve"> (“</w:t>
      </w:r>
      <w:r w:rsidR="00620339" w:rsidRPr="008217CA">
        <w:rPr>
          <w:b/>
          <w:bCs/>
        </w:rPr>
        <w:t>IAA</w:t>
      </w:r>
      <w:r w:rsidR="00620339">
        <w:t>”)</w:t>
      </w:r>
      <w:r w:rsidR="00114F26" w:rsidRPr="00114F26">
        <w:t xml:space="preserve">, a challenge to a tribunal’s ruling on jurisdiction </w:t>
      </w:r>
      <w:r w:rsidR="00FC48BB">
        <w:t>may</w:t>
      </w:r>
      <w:r w:rsidR="00FC48BB" w:rsidRPr="00114F26">
        <w:t xml:space="preserve"> </w:t>
      </w:r>
      <w:r w:rsidR="00114F26" w:rsidRPr="00114F26">
        <w:t>be brought before the Singapore courts within 30 days of receipt of the ruling.</w:t>
      </w:r>
      <w:r w:rsidR="00FC48BB">
        <w:t xml:space="preserve"> </w:t>
      </w:r>
      <w:r w:rsidR="00114F26" w:rsidRPr="00114F26">
        <w:t xml:space="preserve">The Tribunal issued its Decision on Jurisdiction on 18 August 2025, which was communicated to the Parties on 21 August 2025. The Defendant did not challenge that decision within the statutory 30-day period, nor has it contended in these proceedings that any such challenge was brought at all. </w:t>
      </w:r>
    </w:p>
    <w:p w14:paraId="1420CB35" w14:textId="0E65429A" w:rsidR="00114F26" w:rsidRPr="00351C59" w:rsidRDefault="00B37302" w:rsidP="00B37302">
      <w:pPr>
        <w:pStyle w:val="ListParagraph"/>
        <w:widowControl w:val="0"/>
        <w:numPr>
          <w:ilvl w:val="1"/>
          <w:numId w:val="6"/>
        </w:numPr>
      </w:pPr>
      <w:r w:rsidRPr="00B37302">
        <w:lastRenderedPageBreak/>
        <w:t>In those circumstances, the Defendant’s attempt to re-</w:t>
      </w:r>
      <w:r w:rsidR="007B255C">
        <w:t>litigate</w:t>
      </w:r>
      <w:r w:rsidRPr="00B37302">
        <w:t xml:space="preserve"> the same jurisdictional objections at the enforcement stage</w:t>
      </w:r>
      <w:r w:rsidR="007B255C">
        <w:t xml:space="preserve"> (</w:t>
      </w:r>
      <w:r w:rsidRPr="00B37302">
        <w:t xml:space="preserve">having elected not to invoke </w:t>
      </w:r>
      <w:r w:rsidR="007B255C">
        <w:t>an</w:t>
      </w:r>
      <w:r w:rsidRPr="00B37302">
        <w:t xml:space="preserve"> available curial remedy</w:t>
      </w:r>
      <w:r w:rsidR="007B255C">
        <w:t>),</w:t>
      </w:r>
      <w:r>
        <w:t xml:space="preserve"> </w:t>
      </w:r>
      <w:r w:rsidRPr="00B37302">
        <w:t>constitutes an abuse of process</w:t>
      </w:r>
      <w:r w:rsidR="00CE526C">
        <w:t>.</w:t>
      </w:r>
    </w:p>
    <w:p w14:paraId="363D0668" w14:textId="41201695" w:rsidR="00C404E4" w:rsidRDefault="00887492" w:rsidP="007B739C">
      <w:pPr>
        <w:pStyle w:val="ListParagraph"/>
        <w:numPr>
          <w:ilvl w:val="0"/>
          <w:numId w:val="6"/>
        </w:numPr>
      </w:pPr>
      <w:r>
        <w:t xml:space="preserve">A bare reading of the Decision on Jurisdiction makes it clear that the Defendant was afforded </w:t>
      </w:r>
      <w:r w:rsidR="00B37302" w:rsidRPr="00B37302">
        <w:t>a full and fair opportunity to advance its jurisdictional objections</w:t>
      </w:r>
      <w:r w:rsidR="00B37302">
        <w:t xml:space="preserve"> before the Tribunal</w:t>
      </w:r>
      <w:r w:rsidR="00B37302" w:rsidRPr="00B37302">
        <w:t>, all of which were carefully considered and rejected</w:t>
      </w:r>
      <w:r w:rsidR="007B739C">
        <w:t xml:space="preserve"> in a reasoned decision</w:t>
      </w:r>
      <w:r w:rsidR="00B37302" w:rsidRPr="00B37302">
        <w:t>.</w:t>
      </w:r>
      <w:r>
        <w:rPr>
          <w:rStyle w:val="FootnoteReference"/>
        </w:rPr>
        <w:footnoteReference w:id="5"/>
      </w:r>
      <w:r>
        <w:t xml:space="preserve"> </w:t>
      </w:r>
      <w:r w:rsidR="007B739C" w:rsidRPr="007B739C">
        <w:t>The present challenge does not engage with that reasoning, nor does it explain why the Tribunal was wrong. Instead, it seeks to re-run the same objections in a different forum.</w:t>
      </w:r>
    </w:p>
    <w:p w14:paraId="02D7E746" w14:textId="5CB1B32C" w:rsidR="00F8789B" w:rsidRDefault="000D155C" w:rsidP="00BB7326">
      <w:pPr>
        <w:pStyle w:val="ListParagraph"/>
        <w:numPr>
          <w:ilvl w:val="0"/>
          <w:numId w:val="6"/>
        </w:numPr>
      </w:pPr>
      <w:r>
        <w:t xml:space="preserve">Therefore, </w:t>
      </w:r>
      <w:r w:rsidR="006A0450">
        <w:t xml:space="preserve">the Application is without merit and ought to be dismissed. </w:t>
      </w:r>
    </w:p>
    <w:p w14:paraId="6498DFEC" w14:textId="6800BC19" w:rsidR="00D60890" w:rsidRDefault="0021006A" w:rsidP="00D60890">
      <w:pPr>
        <w:pStyle w:val="Heading1"/>
      </w:pPr>
      <w:r>
        <w:t xml:space="preserve">ANY ADJOURNMENT OF THE RECOGNITION ORDER SHOULD BE CONDITIONAL UPON </w:t>
      </w:r>
      <w:r w:rsidR="00D60890">
        <w:t xml:space="preserve">SECURITY </w:t>
      </w:r>
    </w:p>
    <w:p w14:paraId="57D3576B" w14:textId="7892C7F4" w:rsidR="00D60890" w:rsidRDefault="00D60890" w:rsidP="00D60890">
      <w:pPr>
        <w:pStyle w:val="ListParagraph"/>
        <w:numPr>
          <w:ilvl w:val="0"/>
          <w:numId w:val="6"/>
        </w:numPr>
      </w:pPr>
      <w:r>
        <w:t xml:space="preserve">The Defendant has </w:t>
      </w:r>
      <w:r w:rsidRPr="00FB0AA2">
        <w:rPr>
          <w:rStyle w:val="Strong"/>
          <w:b w:val="0"/>
          <w:bCs w:val="0"/>
          <w:u w:val="single"/>
        </w:rPr>
        <w:t>not</w:t>
      </w:r>
      <w:r>
        <w:t xml:space="preserve"> applied to set aside or suspend the Award before the courts of the seat (being Singapore), nor has it relied on Article 44(1)(a)(v) of the DIFC Arbitration Law in these proceedings. As matters presently stand, there is therefore </w:t>
      </w:r>
      <w:r w:rsidRPr="00FB0AA2">
        <w:rPr>
          <w:rStyle w:val="Strong"/>
          <w:b w:val="0"/>
          <w:bCs w:val="0"/>
        </w:rPr>
        <w:t>no basis</w:t>
      </w:r>
      <w:r>
        <w:t xml:space="preserve"> for any adjournment of</w:t>
      </w:r>
      <w:r w:rsidR="0021006A">
        <w:t xml:space="preserve"> </w:t>
      </w:r>
      <w:r w:rsidR="0021006A" w:rsidRPr="0021006A">
        <w:t>this Court’s decision on the Claimant’s Enforcement Application</w:t>
      </w:r>
      <w:r w:rsidR="0021006A">
        <w:t>, i.e.,</w:t>
      </w:r>
      <w:r>
        <w:t xml:space="preserve"> the Recognition Order pursuant to Article 44(2) of the DIFC Arbitration Law.</w:t>
      </w:r>
    </w:p>
    <w:p w14:paraId="61CD9948" w14:textId="543E9D85" w:rsidR="00D60890" w:rsidRDefault="00D60890" w:rsidP="007F2418">
      <w:pPr>
        <w:pStyle w:val="ListParagraph"/>
        <w:numPr>
          <w:ilvl w:val="0"/>
          <w:numId w:val="6"/>
        </w:numPr>
      </w:pPr>
      <w:r>
        <w:t xml:space="preserve">Article 44(2) of the DIFC Arbitration Law is engaged </w:t>
      </w:r>
      <w:r w:rsidRPr="007F2418">
        <w:rPr>
          <w:rStyle w:val="Strong"/>
          <w:b w:val="0"/>
          <w:bCs w:val="0"/>
          <w:u w:val="single"/>
        </w:rPr>
        <w:t>only</w:t>
      </w:r>
      <w:r>
        <w:t xml:space="preserve"> where an application for setting aside or suspension of the award has in fact been made before the competent court at the seat. </w:t>
      </w:r>
      <w:r w:rsidR="007F2418">
        <w:t>It</w:t>
      </w:r>
      <w:r w:rsidR="0021006A" w:rsidRPr="0021006A">
        <w:t xml:space="preserve"> confers a discretion on the Court, if it considers it proper, to adjourn </w:t>
      </w:r>
      <w:r w:rsidR="0021006A" w:rsidRPr="008217CA">
        <w:rPr>
          <w:u w:val="single"/>
        </w:rPr>
        <w:t>its decision</w:t>
      </w:r>
      <w:r w:rsidR="0021006A" w:rsidRPr="0021006A">
        <w:t xml:space="preserve"> on recognition or enforcement.</w:t>
      </w:r>
      <w:r w:rsidR="0021006A">
        <w:t xml:space="preserve"> </w:t>
      </w:r>
      <w:r>
        <w:t>In the absence of any such application</w:t>
      </w:r>
      <w:r w:rsidR="0021006A">
        <w:t xml:space="preserve"> filed before the Singapore courts</w:t>
      </w:r>
      <w:r>
        <w:t xml:space="preserve">, the Defendant has no right to seek, and this Court has no basis to consider, an adjournment </w:t>
      </w:r>
      <w:r w:rsidR="0021006A">
        <w:t>of the Recognition Order</w:t>
      </w:r>
      <w:r>
        <w:t>.</w:t>
      </w:r>
    </w:p>
    <w:p w14:paraId="277E5133" w14:textId="55AF5DD9" w:rsidR="00D60890" w:rsidRDefault="00D60890" w:rsidP="00D60890">
      <w:pPr>
        <w:pStyle w:val="ListParagraph"/>
        <w:numPr>
          <w:ilvl w:val="0"/>
          <w:numId w:val="6"/>
        </w:numPr>
      </w:pPr>
      <w:r>
        <w:t xml:space="preserve">That said, the Defendant has indicated its intention to file an application setting aside the Award before the seat court (i.e. the Singapore courts): [29], Green-1. In such event, it is well-established that </w:t>
      </w:r>
      <w:r w:rsidRPr="00EF5E37">
        <w:t xml:space="preserve">an adjournment </w:t>
      </w:r>
      <w:r w:rsidR="0021006A" w:rsidRPr="0021006A">
        <w:t xml:space="preserve">of the Court’s decision </w:t>
      </w:r>
      <w:r w:rsidRPr="00EF5E37">
        <w:t>is not a matter of right.</w:t>
      </w:r>
      <w:r>
        <w:t xml:space="preserve"> The threshold question remains whether, as a matter of first impression, the Award is valid or invalid: </w:t>
      </w:r>
      <w:r>
        <w:rPr>
          <w:lang w:val="en-IN"/>
        </w:rPr>
        <w:t xml:space="preserve">[8], </w:t>
      </w:r>
      <w:r w:rsidRPr="00CE67BE">
        <w:rPr>
          <w:i/>
          <w:iCs/>
          <w:lang w:val="en-IN"/>
        </w:rPr>
        <w:t xml:space="preserve">Eava v. Egan </w:t>
      </w:r>
      <w:r w:rsidRPr="00CE67BE">
        <w:rPr>
          <w:lang w:val="en-IN"/>
        </w:rPr>
        <w:t>[2014] DIFC ARB 005 (26 July</w:t>
      </w:r>
      <w:r>
        <w:rPr>
          <w:lang w:val="en-IN"/>
        </w:rPr>
        <w:t xml:space="preserve"> </w:t>
      </w:r>
      <w:r w:rsidRPr="00CE67BE">
        <w:rPr>
          <w:lang w:val="en-IN"/>
        </w:rPr>
        <w:t>2015)</w:t>
      </w:r>
      <w:r>
        <w:rPr>
          <w:lang w:val="en-IN"/>
        </w:rPr>
        <w:t xml:space="preserve">. </w:t>
      </w:r>
      <w:r>
        <w:t xml:space="preserve">Article 44(2) confers a discretion on this Court, to be exercised having regard to all the circumstances, including whether the foreign challenge is </w:t>
      </w:r>
      <w:r w:rsidRPr="00FB0AA2">
        <w:rPr>
          <w:i/>
          <w:iCs/>
        </w:rPr>
        <w:t>bona fide</w:t>
      </w:r>
      <w:r>
        <w:t xml:space="preserve">, whether it has a realistic prospect of success, and the prejudice caused by delay to the award creditor: </w:t>
      </w:r>
      <w:r w:rsidR="001A203D">
        <w:t>[</w:t>
      </w:r>
      <w:r>
        <w:t>4.136</w:t>
      </w:r>
      <w:r w:rsidR="001A203D">
        <w:t>]</w:t>
      </w:r>
      <w:proofErr w:type="gramStart"/>
      <w:r>
        <w:t>-</w:t>
      </w:r>
      <w:r w:rsidR="001A203D">
        <w:t>[</w:t>
      </w:r>
      <w:proofErr w:type="gramEnd"/>
      <w:r>
        <w:t>4.138</w:t>
      </w:r>
      <w:r w:rsidR="001A203D">
        <w:t>]</w:t>
      </w:r>
      <w:r w:rsidR="0076061E">
        <w:t xml:space="preserve">, DIFC Courts Practice. </w:t>
      </w:r>
    </w:p>
    <w:p w14:paraId="33FDD68A" w14:textId="77777777" w:rsidR="00D60890" w:rsidRDefault="00D60890" w:rsidP="00D60890">
      <w:pPr>
        <w:pStyle w:val="ListParagraph"/>
        <w:numPr>
          <w:ilvl w:val="0"/>
          <w:numId w:val="6"/>
        </w:numPr>
      </w:pPr>
      <w:r>
        <w:t xml:space="preserve">In the present case, for the reasons set out above, the Award was validly made, and none of the grounds advanced by the Defendant discloses any arguable basis upon which the Award could be set aside at the seat. The </w:t>
      </w:r>
      <w:r w:rsidRPr="00FB0AA2">
        <w:rPr>
          <w:u w:val="single"/>
        </w:rPr>
        <w:t>only</w:t>
      </w:r>
      <w:r>
        <w:t xml:space="preserve"> ground presently identified by the Defendant concerns the composition of the Tribunal, which has already been rejected by the Tribunal and is binding under the law of the seat. Any application brought before the Singapore courts would therefore, at best, face formidable hurdles.</w:t>
      </w:r>
    </w:p>
    <w:p w14:paraId="54B37B89" w14:textId="3F934D78" w:rsidR="00D60890" w:rsidRDefault="00D60890" w:rsidP="00D60890">
      <w:pPr>
        <w:pStyle w:val="ListParagraph"/>
        <w:numPr>
          <w:ilvl w:val="0"/>
          <w:numId w:val="6"/>
        </w:numPr>
      </w:pPr>
      <w:r w:rsidRPr="00593CBF">
        <w:lastRenderedPageBreak/>
        <w:t>Further, the Defendant remains in breach of the Award and has failed to pay any part of the sums ordered, notwithstanding the demand issued on 22 December 2025</w:t>
      </w:r>
      <w:r>
        <w:t>: [</w:t>
      </w:r>
      <w:r w:rsidR="0019633E">
        <w:t>25</w:t>
      </w:r>
      <w:r>
        <w:t>], Singh-1.</w:t>
      </w:r>
      <w:r w:rsidR="0019633E">
        <w:rPr>
          <w:rStyle w:val="FootnoteReference"/>
        </w:rPr>
        <w:footnoteReference w:id="6"/>
      </w:r>
      <w:r w:rsidRPr="00593CBF">
        <w:t xml:space="preserve"> This is a relevant consideration when assessing whether an adjournment should be granted and, if so, on what terms.</w:t>
      </w:r>
    </w:p>
    <w:p w14:paraId="21F8ED4F" w14:textId="5AF40BD5" w:rsidR="00D60890" w:rsidRDefault="00D60890" w:rsidP="000B6AD0">
      <w:pPr>
        <w:pStyle w:val="ListParagraph"/>
        <w:numPr>
          <w:ilvl w:val="0"/>
          <w:numId w:val="6"/>
        </w:numPr>
      </w:pPr>
      <w:r w:rsidRPr="00EF5E37">
        <w:t xml:space="preserve">In any event, if this Court were minded </w:t>
      </w:r>
      <w:proofErr w:type="gramStart"/>
      <w:r w:rsidRPr="00EF5E37">
        <w:t>to adjourn</w:t>
      </w:r>
      <w:proofErr w:type="gramEnd"/>
      <w:r w:rsidRPr="00EF5E37">
        <w:t xml:space="preserve"> </w:t>
      </w:r>
      <w:r w:rsidR="0021006A">
        <w:t>the Recognition Order</w:t>
      </w:r>
      <w:r w:rsidRPr="00EF5E37">
        <w:t xml:space="preserve"> pending any application brought at the seat, it would be appropriate, and consistent with Article 44(2), </w:t>
      </w:r>
      <w:r>
        <w:t xml:space="preserve">for this Court </w:t>
      </w:r>
      <w:r w:rsidRPr="00EF5E37">
        <w:t>to order the Defendant to provide appropriate security as a condition of any adjournment.</w:t>
      </w:r>
      <w:r>
        <w:t xml:space="preserve"> </w:t>
      </w:r>
      <w:r w:rsidRPr="00C50302">
        <w:t>In the circumstances of this case, appropriate security ought to be in the amount of the full sum awarded, together with any accrued interest</w:t>
      </w:r>
      <w:r>
        <w:t>: [</w:t>
      </w:r>
      <w:r w:rsidR="0019633E">
        <w:t>27</w:t>
      </w:r>
      <w:r>
        <w:t>]</w:t>
      </w:r>
      <w:r w:rsidR="0019633E">
        <w:t xml:space="preserve"> and [30]</w:t>
      </w:r>
      <w:r>
        <w:t>, Singh-1. Such an order is necessary to preserve the efficacy of the enforcement process and to ensure that the Defendant does not use foreign proceedings as a means of delaying satisfaction of a valid award.</w:t>
      </w:r>
    </w:p>
    <w:p w14:paraId="5C38839F" w14:textId="77777777" w:rsidR="00CD722D" w:rsidRDefault="00D60890" w:rsidP="00CD722D">
      <w:pPr>
        <w:pStyle w:val="ListParagraph"/>
        <w:numPr>
          <w:ilvl w:val="0"/>
          <w:numId w:val="6"/>
        </w:numPr>
      </w:pPr>
      <w:r>
        <w:t>As no application to set aside or suspend the Award has yet been filed before the Singapore courts, and no adjournment has been sought in these proceedings, the Claimant reserves its right to adduce further evidence in terms of RDC 43.74 should Article 44(2) be engaged.</w:t>
      </w:r>
    </w:p>
    <w:p w14:paraId="544EAF6D" w14:textId="35E73735" w:rsidR="0090275C" w:rsidRDefault="00CD722D">
      <w:pPr>
        <w:pStyle w:val="ListParagraph"/>
        <w:numPr>
          <w:ilvl w:val="0"/>
          <w:numId w:val="6"/>
        </w:numPr>
      </w:pPr>
      <w:r w:rsidRPr="007F2418">
        <w:t xml:space="preserve">For the avoidance of doubt, Article 44(2) does not provide for any adjournment of the DIFC proceedings themselves, and the Court remains required to hear and determine the </w:t>
      </w:r>
      <w:r>
        <w:t>Defendant’s</w:t>
      </w:r>
      <w:r w:rsidRPr="007F2418">
        <w:t xml:space="preserve"> Application</w:t>
      </w:r>
      <w:r>
        <w:t xml:space="preserve"> as it stands</w:t>
      </w:r>
      <w:r w:rsidRPr="007F2418">
        <w:t>.</w:t>
      </w:r>
    </w:p>
    <w:p w14:paraId="0FB66ED6" w14:textId="562B404D" w:rsidR="00AA4827" w:rsidRDefault="00AA4827" w:rsidP="00BB7326">
      <w:pPr>
        <w:pStyle w:val="Heading1"/>
      </w:pPr>
      <w:r>
        <w:t xml:space="preserve">Conclusion </w:t>
      </w:r>
    </w:p>
    <w:p w14:paraId="19CE37D8" w14:textId="5EE71D0E" w:rsidR="00E625ED" w:rsidRPr="00A579E4" w:rsidRDefault="00E625ED" w:rsidP="00A579E4">
      <w:pPr>
        <w:pStyle w:val="ListParagraph"/>
        <w:widowControl w:val="0"/>
        <w:numPr>
          <w:ilvl w:val="0"/>
          <w:numId w:val="6"/>
        </w:numPr>
      </w:pPr>
      <w:proofErr w:type="gramStart"/>
      <w:r w:rsidRPr="00A579E4">
        <w:t>In light of</w:t>
      </w:r>
      <w:proofErr w:type="gramEnd"/>
      <w:r w:rsidRPr="00A579E4">
        <w:t xml:space="preserve"> the above, </w:t>
      </w:r>
      <w:r w:rsidRPr="00A579E4">
        <w:rPr>
          <w:rFonts w:eastAsiaTheme="minorHAnsi"/>
          <w:color w:val="000000"/>
          <w:lang w:val="en-IN"/>
        </w:rPr>
        <w:t xml:space="preserve">the Claimant requests that </w:t>
      </w:r>
      <w:r>
        <w:rPr>
          <w:rFonts w:eastAsiaTheme="minorHAnsi"/>
          <w:color w:val="000000"/>
          <w:lang w:val="en-IN"/>
        </w:rPr>
        <w:t xml:space="preserve">this </w:t>
      </w:r>
      <w:r w:rsidRPr="00A579E4">
        <w:rPr>
          <w:rFonts w:eastAsiaTheme="minorHAnsi"/>
          <w:color w:val="000000"/>
          <w:lang w:val="en-IN"/>
        </w:rPr>
        <w:t>Application be rejected in entirety and costs be imposed</w:t>
      </w:r>
      <w:r>
        <w:rPr>
          <w:rFonts w:eastAsiaTheme="minorHAnsi"/>
          <w:color w:val="000000"/>
          <w:lang w:val="en-IN"/>
        </w:rPr>
        <w:t xml:space="preserve"> </w:t>
      </w:r>
      <w:r w:rsidRPr="00A579E4">
        <w:rPr>
          <w:rFonts w:eastAsiaTheme="minorHAnsi"/>
          <w:color w:val="000000"/>
          <w:lang w:val="en-IN"/>
        </w:rPr>
        <w:t>upon the Defendant.</w:t>
      </w:r>
    </w:p>
    <w:p w14:paraId="7B6C35A7" w14:textId="449A2463" w:rsidR="00E625ED" w:rsidRPr="00E625ED" w:rsidRDefault="00E625ED" w:rsidP="00A579E4">
      <w:pPr>
        <w:pStyle w:val="Heading1"/>
      </w:pPr>
      <w:r>
        <w:t>Statement of truth</w:t>
      </w:r>
    </w:p>
    <w:p w14:paraId="328D7305" w14:textId="070F1E2F" w:rsidR="00AA4827" w:rsidRPr="00A579E4" w:rsidRDefault="00AA4827" w:rsidP="00BB7326">
      <w:pPr>
        <w:pStyle w:val="ListParagraph"/>
        <w:widowControl w:val="0"/>
        <w:numPr>
          <w:ilvl w:val="0"/>
          <w:numId w:val="6"/>
        </w:numPr>
        <w:rPr>
          <w:b/>
          <w:bCs/>
        </w:rPr>
      </w:pPr>
      <w:r w:rsidRPr="00496665">
        <w:t xml:space="preserve">I </w:t>
      </w:r>
      <w:r w:rsidR="00E625ED">
        <w:t>believe that the contents of this</w:t>
      </w:r>
      <w:r w:rsidRPr="00496665">
        <w:t xml:space="preserve"> witness statement</w:t>
      </w:r>
      <w:r w:rsidR="00E625ED">
        <w:t xml:space="preserve"> are true</w:t>
      </w:r>
      <w:r w:rsidRPr="00496665">
        <w:t>.</w:t>
      </w:r>
    </w:p>
    <w:p w14:paraId="703276FE" w14:textId="77777777" w:rsidR="002B0D9E" w:rsidRDefault="002B0D9E" w:rsidP="002B0D9E">
      <w:pPr>
        <w:widowControl w:val="0"/>
        <w:rPr>
          <w:b/>
          <w:bCs/>
        </w:rPr>
      </w:pPr>
    </w:p>
    <w:p w14:paraId="514D19AA" w14:textId="77777777" w:rsidR="00E625ED" w:rsidRPr="00A579E4" w:rsidRDefault="00E625ED" w:rsidP="00A579E4">
      <w:pPr>
        <w:widowControl w:val="0"/>
        <w:rPr>
          <w:b/>
          <w:bCs/>
        </w:rPr>
      </w:pPr>
    </w:p>
    <w:p w14:paraId="4C633C94" w14:textId="77777777" w:rsidR="00E625ED" w:rsidRDefault="00E625ED" w:rsidP="00E625ED">
      <w:pPr>
        <w:rPr>
          <w:b/>
        </w:rPr>
      </w:pPr>
    </w:p>
    <w:p w14:paraId="1B7328BA" w14:textId="3DD26B18" w:rsidR="009B78A7" w:rsidRPr="00496665" w:rsidRDefault="009B78A7" w:rsidP="00A579E4">
      <w:pPr>
        <w:rPr>
          <w:b/>
        </w:rPr>
      </w:pPr>
      <w:r w:rsidRPr="00496665">
        <w:rPr>
          <w:b/>
        </w:rPr>
        <w:t>SIGNED</w:t>
      </w:r>
      <w:r w:rsidRPr="00496665">
        <w:t xml:space="preserve"> by the </w:t>
      </w:r>
      <w:proofErr w:type="gramStart"/>
      <w:r w:rsidR="00EF75E4">
        <w:t>below-named</w:t>
      </w:r>
      <w:proofErr w:type="gramEnd"/>
      <w:r w:rsidRPr="00496665">
        <w:tab/>
      </w:r>
      <w:r w:rsidRPr="00496665">
        <w:tab/>
      </w:r>
      <w:r w:rsidRPr="00496665">
        <w:tab/>
        <w:t>)</w:t>
      </w:r>
    </w:p>
    <w:p w14:paraId="2BEE1F3E" w14:textId="3624D1F4" w:rsidR="009B78A7" w:rsidRPr="00496665" w:rsidRDefault="0019633E" w:rsidP="00A579E4">
      <w:r w:rsidRPr="0019633E">
        <w:rPr>
          <w:b/>
          <w:bCs/>
        </w:rPr>
        <w:t>PRIYANSHI VAKHARIA</w:t>
      </w:r>
      <w:r w:rsidR="009B78A7" w:rsidRPr="00496665">
        <w:tab/>
      </w:r>
      <w:r w:rsidR="009B78A7" w:rsidRPr="00496665">
        <w:tab/>
      </w:r>
      <w:r w:rsidR="009B78A7" w:rsidRPr="00496665">
        <w:tab/>
        <w:t>)</w:t>
      </w:r>
    </w:p>
    <w:p w14:paraId="693165C9" w14:textId="7BC10B81" w:rsidR="009B78A7" w:rsidRPr="00496665" w:rsidRDefault="009B78A7" w:rsidP="00A579E4">
      <w:r w:rsidRPr="00496665">
        <w:t xml:space="preserve">on this </w:t>
      </w:r>
      <w:r w:rsidR="0019633E" w:rsidRPr="00A579E4">
        <w:t>2</w:t>
      </w:r>
      <w:r w:rsidR="001A203D" w:rsidRPr="00A579E4">
        <w:t>6</w:t>
      </w:r>
      <w:r w:rsidR="00F629CA" w:rsidRPr="00A579E4">
        <w:rPr>
          <w:vertAlign w:val="superscript"/>
        </w:rPr>
        <w:t>th</w:t>
      </w:r>
      <w:r w:rsidR="00F629CA">
        <w:t xml:space="preserve"> </w:t>
      </w:r>
      <w:r w:rsidRPr="00496665">
        <w:t>day of January 202</w:t>
      </w:r>
      <w:r w:rsidR="00F9081B" w:rsidRPr="00496665">
        <w:t>6</w:t>
      </w:r>
      <w:r w:rsidRPr="00496665">
        <w:tab/>
      </w:r>
      <w:r w:rsidRPr="00496665">
        <w:tab/>
      </w:r>
      <w:r w:rsidR="00E625ED">
        <w:tab/>
      </w:r>
      <w:r w:rsidRPr="00496665">
        <w:t>)</w:t>
      </w:r>
    </w:p>
    <w:p w14:paraId="271ACF2D" w14:textId="3BC1B0EB" w:rsidR="009B78A7" w:rsidRPr="00496665" w:rsidRDefault="001A203D" w:rsidP="00A579E4">
      <w:r>
        <w:t>at Mumbai, India</w:t>
      </w:r>
      <w:r w:rsidR="009B78A7" w:rsidRPr="00496665">
        <w:tab/>
      </w:r>
      <w:r w:rsidR="009B78A7" w:rsidRPr="00496665">
        <w:tab/>
      </w:r>
      <w:r w:rsidR="009B78A7" w:rsidRPr="00496665">
        <w:tab/>
      </w:r>
      <w:r w:rsidR="00351105">
        <w:tab/>
      </w:r>
      <w:r w:rsidR="00E625ED">
        <w:tab/>
      </w:r>
      <w:r w:rsidR="009B78A7" w:rsidRPr="00496665">
        <w:t xml:space="preserve">) </w:t>
      </w:r>
    </w:p>
    <w:sectPr w:rsidR="009B78A7" w:rsidRPr="00496665" w:rsidSect="00A7166A">
      <w:footerReference w:type="default" r:id="rId1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32935" w14:textId="77777777" w:rsidR="00FF157D" w:rsidRPr="00496665" w:rsidRDefault="00FF157D" w:rsidP="003E0610">
      <w:pPr>
        <w:spacing w:before="0" w:after="0" w:line="240" w:lineRule="auto"/>
      </w:pPr>
      <w:r w:rsidRPr="00496665">
        <w:separator/>
      </w:r>
    </w:p>
  </w:endnote>
  <w:endnote w:type="continuationSeparator" w:id="0">
    <w:p w14:paraId="448D9FE1" w14:textId="77777777" w:rsidR="00FF157D" w:rsidRPr="00496665" w:rsidRDefault="00FF157D" w:rsidP="003E0610">
      <w:pPr>
        <w:spacing w:before="0" w:after="0" w:line="240" w:lineRule="auto"/>
      </w:pPr>
      <w:r w:rsidRPr="0049666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2475442"/>
      <w:docPartObj>
        <w:docPartGallery w:val="Page Numbers (Bottom of Page)"/>
        <w:docPartUnique/>
      </w:docPartObj>
    </w:sdtPr>
    <w:sdtContent>
      <w:p w14:paraId="6D391785" w14:textId="77777777" w:rsidR="00764B23" w:rsidRPr="00496665" w:rsidRDefault="00764B23" w:rsidP="0078712E">
        <w:pPr>
          <w:pStyle w:val="Footer"/>
          <w:framePr w:wrap="none" w:vAnchor="text" w:hAnchor="margin" w:xAlign="center" w:y="1"/>
          <w:rPr>
            <w:rStyle w:val="PageNumber"/>
          </w:rPr>
        </w:pPr>
        <w:r w:rsidRPr="00496665">
          <w:rPr>
            <w:rStyle w:val="PageNumber"/>
          </w:rPr>
          <w:fldChar w:fldCharType="begin"/>
        </w:r>
        <w:r w:rsidRPr="00496665">
          <w:rPr>
            <w:rStyle w:val="PageNumber"/>
          </w:rPr>
          <w:instrText xml:space="preserve"> PAGE </w:instrText>
        </w:r>
        <w:r w:rsidRPr="00496665">
          <w:rPr>
            <w:rStyle w:val="PageNumber"/>
          </w:rPr>
          <w:fldChar w:fldCharType="separate"/>
        </w:r>
        <w:r w:rsidRPr="00100B21">
          <w:rPr>
            <w:rStyle w:val="PageNumber"/>
          </w:rPr>
          <w:t>1</w:t>
        </w:r>
        <w:r w:rsidRPr="00496665">
          <w:rPr>
            <w:rStyle w:val="PageNumber"/>
          </w:rPr>
          <w:fldChar w:fldCharType="end"/>
        </w:r>
      </w:p>
    </w:sdtContent>
  </w:sdt>
  <w:p w14:paraId="424843AD" w14:textId="77777777" w:rsidR="00764B23" w:rsidRPr="00496665" w:rsidRDefault="00764B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388778"/>
      <w:docPartObj>
        <w:docPartGallery w:val="Page Numbers (Bottom of Page)"/>
        <w:docPartUnique/>
      </w:docPartObj>
    </w:sdtPr>
    <w:sdtContent>
      <w:p w14:paraId="18A713B4" w14:textId="77777777" w:rsidR="00764B23" w:rsidRPr="00496665" w:rsidRDefault="00000000">
        <w:pPr>
          <w:pStyle w:val="Footer"/>
          <w:jc w:val="center"/>
        </w:pPr>
      </w:p>
    </w:sdtContent>
  </w:sdt>
  <w:p w14:paraId="5CAB8D45" w14:textId="77777777" w:rsidR="00764B23" w:rsidRPr="00496665" w:rsidRDefault="00764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AFB6" w14:textId="77777777" w:rsidR="00472C6A" w:rsidRDefault="00472C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9958"/>
      <w:docPartObj>
        <w:docPartGallery w:val="Page Numbers (Bottom of Page)"/>
        <w:docPartUnique/>
      </w:docPartObj>
    </w:sdtPr>
    <w:sdtContent>
      <w:p w14:paraId="07A6AF1F" w14:textId="21C94040" w:rsidR="00407F4B" w:rsidRPr="00496665" w:rsidRDefault="00407F4B" w:rsidP="003139F0">
        <w:pPr>
          <w:pStyle w:val="Footer"/>
          <w:jc w:val="center"/>
        </w:pPr>
        <w:r w:rsidRPr="00100B21">
          <w:fldChar w:fldCharType="begin"/>
        </w:r>
        <w:r w:rsidRPr="00496665">
          <w:instrText xml:space="preserve"> PAGE   \* MERGEFORMAT </w:instrText>
        </w:r>
        <w:r w:rsidRPr="00100B21">
          <w:fldChar w:fldCharType="separate"/>
        </w:r>
        <w:r w:rsidRPr="00100B21">
          <w:t>2</w:t>
        </w:r>
        <w:r w:rsidRPr="00100B2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67BBB" w14:textId="77777777" w:rsidR="00FF157D" w:rsidRPr="00496665" w:rsidRDefault="00FF157D" w:rsidP="003E0610">
      <w:pPr>
        <w:spacing w:before="0" w:after="0" w:line="240" w:lineRule="auto"/>
      </w:pPr>
      <w:r w:rsidRPr="00496665">
        <w:separator/>
      </w:r>
    </w:p>
  </w:footnote>
  <w:footnote w:type="continuationSeparator" w:id="0">
    <w:p w14:paraId="67872E71" w14:textId="77777777" w:rsidR="00FF157D" w:rsidRPr="00496665" w:rsidRDefault="00FF157D" w:rsidP="003E0610">
      <w:pPr>
        <w:spacing w:before="0" w:after="0" w:line="240" w:lineRule="auto"/>
      </w:pPr>
      <w:r w:rsidRPr="00496665">
        <w:continuationSeparator/>
      </w:r>
    </w:p>
  </w:footnote>
  <w:footnote w:id="1">
    <w:p w14:paraId="6A7EDB01" w14:textId="6668C152" w:rsidR="00D86A9B" w:rsidRPr="00351C59" w:rsidRDefault="00D86A9B">
      <w:pPr>
        <w:pStyle w:val="FootnoteText"/>
        <w:rPr>
          <w:lang w:val="en-US"/>
        </w:rPr>
      </w:pPr>
      <w:r>
        <w:rPr>
          <w:rStyle w:val="FootnoteReference"/>
        </w:rPr>
        <w:footnoteRef/>
      </w:r>
      <w:r>
        <w:t xml:space="preserve"> </w:t>
      </w:r>
      <w:r w:rsidR="002570A1">
        <w:t>Email dated 22 January 2026 from the DIFC Registry to the Claimant (</w:t>
      </w:r>
      <w:r w:rsidR="002570A1" w:rsidRPr="000B6AD0">
        <w:rPr>
          <w:b/>
          <w:bCs/>
        </w:rPr>
        <w:t>PV-1 Tab-1</w:t>
      </w:r>
      <w:r w:rsidR="002570A1">
        <w:t>)</w:t>
      </w:r>
    </w:p>
  </w:footnote>
  <w:footnote w:id="2">
    <w:p w14:paraId="42879E78" w14:textId="26F2E1F6" w:rsidR="000867F7" w:rsidRPr="00351C59" w:rsidRDefault="000867F7">
      <w:pPr>
        <w:pStyle w:val="FootnoteText"/>
        <w:rPr>
          <w:lang w:val="en-US"/>
        </w:rPr>
      </w:pPr>
      <w:r>
        <w:rPr>
          <w:rStyle w:val="FootnoteReference"/>
        </w:rPr>
        <w:footnoteRef/>
      </w:r>
      <w:r>
        <w:t xml:space="preserve"> </w:t>
      </w:r>
      <w:r w:rsidR="002570A1" w:rsidRPr="000B6AD0">
        <w:rPr>
          <w:lang w:val="en-IN"/>
        </w:rPr>
        <w:t>Waybill</w:t>
      </w:r>
      <w:r w:rsidR="00561EA7">
        <w:rPr>
          <w:lang w:val="en-IN"/>
        </w:rPr>
        <w:t xml:space="preserve"> No. H5641360753</w:t>
      </w:r>
      <w:r w:rsidRPr="000B6AD0">
        <w:rPr>
          <w:lang w:val="en-IN"/>
        </w:rPr>
        <w:t xml:space="preserve"> dated</w:t>
      </w:r>
      <w:r w:rsidR="002570A1" w:rsidRPr="000B6AD0">
        <w:rPr>
          <w:lang w:val="en-IN"/>
        </w:rPr>
        <w:t xml:space="preserve"> 23 January 2026</w:t>
      </w:r>
      <w:r w:rsidRPr="000B6AD0">
        <w:rPr>
          <w:lang w:val="en-IN"/>
        </w:rPr>
        <w:t xml:space="preserve"> (</w:t>
      </w:r>
      <w:r w:rsidR="002570A1" w:rsidRPr="000B6AD0">
        <w:rPr>
          <w:b/>
          <w:bCs/>
          <w:lang w:val="en-IN"/>
        </w:rPr>
        <w:t>PV</w:t>
      </w:r>
      <w:r w:rsidRPr="000B6AD0">
        <w:rPr>
          <w:b/>
          <w:bCs/>
          <w:lang w:val="en-IN"/>
        </w:rPr>
        <w:t>-</w:t>
      </w:r>
      <w:r w:rsidR="0019633E">
        <w:rPr>
          <w:b/>
          <w:bCs/>
          <w:lang w:val="en-IN"/>
        </w:rPr>
        <w:t>1</w:t>
      </w:r>
      <w:r w:rsidRPr="000B6AD0">
        <w:rPr>
          <w:b/>
          <w:bCs/>
          <w:lang w:val="en-IN"/>
        </w:rPr>
        <w:t xml:space="preserve"> Tab-2</w:t>
      </w:r>
      <w:r w:rsidRPr="000B6AD0">
        <w:rPr>
          <w:lang w:val="en-IN"/>
        </w:rPr>
        <w:t xml:space="preserve">) </w:t>
      </w:r>
    </w:p>
  </w:footnote>
  <w:footnote w:id="3">
    <w:p w14:paraId="4067BBED" w14:textId="69F5C9BB" w:rsidR="00861394" w:rsidRPr="00A0591C" w:rsidRDefault="00861394" w:rsidP="00861394">
      <w:pPr>
        <w:pStyle w:val="FootnoteText"/>
        <w:rPr>
          <w:lang w:val="en-IN"/>
        </w:rPr>
      </w:pPr>
      <w:r>
        <w:rPr>
          <w:rStyle w:val="FootnoteReference"/>
        </w:rPr>
        <w:footnoteRef/>
      </w:r>
      <w:r>
        <w:t xml:space="preserve"> </w:t>
      </w:r>
      <w:r>
        <w:rPr>
          <w:lang w:val="en-IN"/>
        </w:rPr>
        <w:t xml:space="preserve">Email dated 23 January 2026 by the Claimant’s counsel, Singularity Legal, to the Defendant </w:t>
      </w:r>
      <w:r w:rsidR="002570A1">
        <w:rPr>
          <w:lang w:val="en-IN"/>
        </w:rPr>
        <w:t>(</w:t>
      </w:r>
      <w:r w:rsidR="002570A1">
        <w:rPr>
          <w:b/>
          <w:bCs/>
          <w:lang w:val="en-IN"/>
        </w:rPr>
        <w:t>PV</w:t>
      </w:r>
      <w:r w:rsidR="002570A1" w:rsidRPr="00A0591C">
        <w:rPr>
          <w:b/>
          <w:bCs/>
          <w:lang w:val="en-IN"/>
        </w:rPr>
        <w:t>-</w:t>
      </w:r>
      <w:r w:rsidRPr="00A0591C">
        <w:rPr>
          <w:b/>
          <w:bCs/>
          <w:lang w:val="en-IN"/>
        </w:rPr>
        <w:t>1 Tab-</w:t>
      </w:r>
      <w:r w:rsidR="002570A1">
        <w:rPr>
          <w:b/>
          <w:bCs/>
          <w:lang w:val="en-IN"/>
        </w:rPr>
        <w:t>3</w:t>
      </w:r>
      <w:r>
        <w:rPr>
          <w:lang w:val="en-IN"/>
        </w:rPr>
        <w:t xml:space="preserve">), Letter of Service dated 23 January 2026, </w:t>
      </w:r>
      <w:r w:rsidR="009C5919">
        <w:rPr>
          <w:lang w:val="en-IN"/>
        </w:rPr>
        <w:t xml:space="preserve">and Certified </w:t>
      </w:r>
      <w:r>
        <w:rPr>
          <w:lang w:val="en-IN"/>
        </w:rPr>
        <w:t>Arabic translation</w:t>
      </w:r>
      <w:r w:rsidR="009C5919">
        <w:rPr>
          <w:lang w:val="en-IN"/>
        </w:rPr>
        <w:t>s</w:t>
      </w:r>
      <w:r>
        <w:rPr>
          <w:lang w:val="en-IN"/>
        </w:rPr>
        <w:t xml:space="preserve"> of the </w:t>
      </w:r>
      <w:r w:rsidR="00D60890">
        <w:rPr>
          <w:lang w:val="en-IN"/>
        </w:rPr>
        <w:t xml:space="preserve">Arbitration </w:t>
      </w:r>
      <w:r w:rsidR="009C5919">
        <w:rPr>
          <w:lang w:val="en-IN"/>
        </w:rPr>
        <w:t>C</w:t>
      </w:r>
      <w:r>
        <w:rPr>
          <w:lang w:val="en-IN"/>
        </w:rPr>
        <w:t xml:space="preserve">laim </w:t>
      </w:r>
      <w:r w:rsidR="009C5919">
        <w:rPr>
          <w:lang w:val="en-IN"/>
        </w:rPr>
        <w:t>F</w:t>
      </w:r>
      <w:r>
        <w:rPr>
          <w:lang w:val="en-IN"/>
        </w:rPr>
        <w:t xml:space="preserve">orm and Recognition Order are included within </w:t>
      </w:r>
      <w:r w:rsidR="002570A1">
        <w:rPr>
          <w:b/>
          <w:bCs/>
          <w:lang w:val="en-IN"/>
        </w:rPr>
        <w:t>PV</w:t>
      </w:r>
      <w:r w:rsidR="002570A1" w:rsidRPr="00FB0AA2">
        <w:rPr>
          <w:b/>
          <w:bCs/>
          <w:lang w:val="en-IN"/>
        </w:rPr>
        <w:t>-</w:t>
      </w:r>
      <w:r w:rsidRPr="00FB0AA2">
        <w:rPr>
          <w:b/>
          <w:bCs/>
          <w:lang w:val="en-IN"/>
        </w:rPr>
        <w:t>1 Tab-</w:t>
      </w:r>
      <w:r w:rsidR="002570A1">
        <w:rPr>
          <w:b/>
          <w:bCs/>
          <w:lang w:val="en-IN"/>
        </w:rPr>
        <w:t>3</w:t>
      </w:r>
      <w:r>
        <w:rPr>
          <w:b/>
          <w:bCs/>
          <w:lang w:val="en-IN"/>
        </w:rPr>
        <w:t>.</w:t>
      </w:r>
    </w:p>
  </w:footnote>
  <w:footnote w:id="4">
    <w:p w14:paraId="6457113A" w14:textId="49E63C6D" w:rsidR="00256FD7" w:rsidRPr="00AC4DAB" w:rsidRDefault="00256FD7" w:rsidP="00256FD7">
      <w:pPr>
        <w:pStyle w:val="FootnoteText"/>
        <w:rPr>
          <w:lang w:val="en-IN"/>
        </w:rPr>
      </w:pPr>
      <w:r>
        <w:rPr>
          <w:rStyle w:val="FootnoteReference"/>
        </w:rPr>
        <w:footnoteRef/>
      </w:r>
      <w:r>
        <w:t xml:space="preserve"> </w:t>
      </w:r>
      <w:r>
        <w:rPr>
          <w:lang w:val="en-IN"/>
        </w:rPr>
        <w:t>[161]</w:t>
      </w:r>
      <w:r w:rsidR="001A203D">
        <w:rPr>
          <w:lang w:val="en-IN"/>
        </w:rPr>
        <w:t>-</w:t>
      </w:r>
      <w:r>
        <w:rPr>
          <w:lang w:val="en-IN"/>
        </w:rPr>
        <w:t>[162], Decision on Jurisdiction</w:t>
      </w:r>
      <w:r w:rsidR="00751A2E">
        <w:rPr>
          <w:lang w:val="en-IN"/>
        </w:rPr>
        <w:t>, included within as a part of/ annexed to the Award</w:t>
      </w:r>
      <w:r w:rsidR="00D60890">
        <w:rPr>
          <w:lang w:val="en-IN"/>
        </w:rPr>
        <w:t xml:space="preserve"> (</w:t>
      </w:r>
      <w:r w:rsidR="00D60890" w:rsidRPr="000B6AD0">
        <w:rPr>
          <w:b/>
          <w:bCs/>
          <w:lang w:val="en-IN"/>
        </w:rPr>
        <w:t>HS-1 Tab-1</w:t>
      </w:r>
      <w:r w:rsidR="00D60890">
        <w:rPr>
          <w:lang w:val="en-IN"/>
        </w:rPr>
        <w:t>)</w:t>
      </w:r>
    </w:p>
  </w:footnote>
  <w:footnote w:id="5">
    <w:p w14:paraId="682FACC8" w14:textId="203A985F" w:rsidR="00887492" w:rsidRPr="00887492" w:rsidRDefault="00887492">
      <w:pPr>
        <w:pStyle w:val="FootnoteText"/>
        <w:rPr>
          <w:lang w:val="en-IN"/>
        </w:rPr>
      </w:pPr>
      <w:r>
        <w:rPr>
          <w:rStyle w:val="FootnoteReference"/>
        </w:rPr>
        <w:footnoteRef/>
      </w:r>
      <w:r>
        <w:t xml:space="preserve"> </w:t>
      </w:r>
      <w:r w:rsidR="000D155C">
        <w:t>[23], Decision on Jurisdiction</w:t>
      </w:r>
      <w:r w:rsidR="00751A2E">
        <w:t xml:space="preserve">, </w:t>
      </w:r>
      <w:r w:rsidR="00751A2E">
        <w:rPr>
          <w:lang w:val="en-IN"/>
        </w:rPr>
        <w:t>included within as a part of/ annexed to the Award</w:t>
      </w:r>
      <w:r w:rsidR="00751A2E">
        <w:t xml:space="preserve"> </w:t>
      </w:r>
      <w:r w:rsidR="0076061E">
        <w:rPr>
          <w:lang w:val="en-IN"/>
        </w:rPr>
        <w:t>(</w:t>
      </w:r>
      <w:r w:rsidR="0076061E" w:rsidRPr="000B6AD0">
        <w:rPr>
          <w:b/>
          <w:bCs/>
          <w:lang w:val="en-IN"/>
        </w:rPr>
        <w:t>HS-1 Tab-1</w:t>
      </w:r>
      <w:r w:rsidR="0076061E">
        <w:rPr>
          <w:lang w:val="en-IN"/>
        </w:rPr>
        <w:t>)</w:t>
      </w:r>
    </w:p>
  </w:footnote>
  <w:footnote w:id="6">
    <w:p w14:paraId="110FD52E" w14:textId="6DC478F6" w:rsidR="0019633E" w:rsidRPr="0019633E" w:rsidRDefault="0019633E">
      <w:pPr>
        <w:pStyle w:val="FootnoteText"/>
        <w:rPr>
          <w:lang w:val="en-IN"/>
        </w:rPr>
      </w:pPr>
      <w:r>
        <w:rPr>
          <w:rStyle w:val="FootnoteReference"/>
        </w:rPr>
        <w:footnoteRef/>
      </w:r>
      <w:r>
        <w:t xml:space="preserve"> Email dated 22 December 2025 from the Claimant’s counsel</w:t>
      </w:r>
      <w:r w:rsidR="0076061E">
        <w:t xml:space="preserve"> </w:t>
      </w:r>
      <w:r>
        <w:t>to the Defendant (</w:t>
      </w:r>
      <w:r w:rsidRPr="00952FE2">
        <w:rPr>
          <w:b/>
          <w:bCs/>
        </w:rPr>
        <w:t xml:space="preserve">HS-1 </w:t>
      </w:r>
      <w:r w:rsidRPr="00952FE2">
        <w:rPr>
          <w:b/>
          <w:bCs/>
          <w:lang w:val="en-US"/>
        </w:rPr>
        <w:t xml:space="preserve">Tab </w:t>
      </w:r>
      <w:r>
        <w:rPr>
          <w:b/>
          <w:bCs/>
          <w:lang w:val="en-US"/>
        </w:rPr>
        <w:t>4</w:t>
      </w:r>
      <w:r>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2767" w14:textId="77777777" w:rsidR="00472C6A" w:rsidRDefault="00472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42A6" w14:textId="77777777" w:rsidR="0077681C" w:rsidRDefault="007768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96EDB" w14:textId="77777777" w:rsidR="00472C6A" w:rsidRDefault="00472C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47896C"/>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EAAA1A26"/>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rPr>
    </w:lvl>
    <w:lvl w:ilvl="2">
      <w:start w:val="1"/>
      <w:numFmt w:val="lowerLetter"/>
      <w:pStyle w:val="Untitledsubclause2"/>
      <w:lvlText w:val="(%3)"/>
      <w:lvlJc w:val="left"/>
      <w:pPr>
        <w:tabs>
          <w:tab w:val="num" w:pos="1555"/>
        </w:tabs>
        <w:ind w:left="1555" w:hanging="561"/>
      </w:pPr>
      <w:rPr>
        <w:rFonts w:hint="default"/>
      </w:rPr>
    </w:lvl>
    <w:lvl w:ilvl="3">
      <w:start w:val="1"/>
      <w:numFmt w:val="lowerRoman"/>
      <w:pStyle w:val="Untitledsubclause3"/>
      <w:lvlText w:val="(%4)"/>
      <w:lvlJc w:val="left"/>
      <w:pPr>
        <w:tabs>
          <w:tab w:val="num" w:pos="2419"/>
        </w:tabs>
        <w:ind w:left="2275" w:hanging="576"/>
      </w:pPr>
      <w:rPr>
        <w:rFonts w:hint="default"/>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4B37CF3"/>
    <w:multiLevelType w:val="multilevel"/>
    <w:tmpl w:val="B8E8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F477E"/>
    <w:multiLevelType w:val="hybridMultilevel"/>
    <w:tmpl w:val="D74C27E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8A0688"/>
    <w:multiLevelType w:val="multilevel"/>
    <w:tmpl w:val="61AC7488"/>
    <w:lvl w:ilvl="0">
      <w:start w:val="1"/>
      <w:numFmt w:val="decimal"/>
      <w:pStyle w:val="Non-AgrLvl1"/>
      <w:lvlText w:val="%1"/>
      <w:lvlJc w:val="left"/>
      <w:pPr>
        <w:ind w:left="720" w:hanging="720"/>
      </w:pPr>
      <w:rPr>
        <w:rFonts w:asciiTheme="minorHAnsi" w:hAnsiTheme="minorHAnsi" w:hint="default"/>
        <w:i w:val="0"/>
        <w:sz w:val="22"/>
      </w:rPr>
    </w:lvl>
    <w:lvl w:ilvl="1">
      <w:start w:val="1"/>
      <w:numFmt w:val="decimal"/>
      <w:pStyle w:val="Non-AgrLvl2"/>
      <w:lvlText w:val="%1.%2"/>
      <w:lvlJc w:val="left"/>
      <w:pPr>
        <w:ind w:left="1440" w:hanging="720"/>
      </w:pPr>
      <w:rPr>
        <w:rFonts w:asciiTheme="minorHAnsi" w:hAnsiTheme="minorHAnsi" w:hint="default"/>
        <w:i w:val="0"/>
        <w:sz w:val="22"/>
      </w:rPr>
    </w:lvl>
    <w:lvl w:ilvl="2">
      <w:start w:val="1"/>
      <w:numFmt w:val="lowerLetter"/>
      <w:pStyle w:val="Non-AgrLvl3"/>
      <w:lvlText w:val="(%3)"/>
      <w:lvlJc w:val="left"/>
      <w:pPr>
        <w:ind w:left="2160" w:hanging="720"/>
      </w:pPr>
      <w:rPr>
        <w:rFonts w:asciiTheme="minorHAnsi" w:hAnsiTheme="minorHAnsi" w:hint="default"/>
        <w:sz w:val="22"/>
      </w:rPr>
    </w:lvl>
    <w:lvl w:ilvl="3">
      <w:start w:val="1"/>
      <w:numFmt w:val="lowerRoman"/>
      <w:pStyle w:val="Non-AgrLvl4"/>
      <w:lvlText w:val="(%4)"/>
      <w:lvlJc w:val="left"/>
      <w:pPr>
        <w:ind w:left="2880" w:hanging="720"/>
      </w:pPr>
      <w:rPr>
        <w:rFonts w:asciiTheme="minorHAnsi" w:hAnsiTheme="minorHAnsi" w:hint="default"/>
        <w:sz w:val="22"/>
      </w:rPr>
    </w:lvl>
    <w:lvl w:ilvl="4">
      <w:start w:val="1"/>
      <w:numFmt w:val="upperLetter"/>
      <w:pStyle w:val="Non-AgrLvl5"/>
      <w:lvlText w:val="(%5)"/>
      <w:lvlJc w:val="left"/>
      <w:pPr>
        <w:ind w:left="3600" w:hanging="720"/>
      </w:pPr>
      <w:rPr>
        <w:rFonts w:asciiTheme="minorHAnsi" w:hAnsiTheme="minorHAnsi" w:hint="default"/>
        <w:sz w:val="22"/>
      </w:rPr>
    </w:lvl>
    <w:lvl w:ilvl="5">
      <w:start w:val="1"/>
      <w:numFmt w:val="lowerRoman"/>
      <w:lvlText w:val="(%6)"/>
      <w:lvlJc w:val="left"/>
      <w:pPr>
        <w:ind w:left="5040" w:hanging="36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120" w:hanging="360"/>
      </w:pPr>
      <w:rPr>
        <w:rFonts w:hint="default"/>
      </w:rPr>
    </w:lvl>
  </w:abstractNum>
  <w:abstractNum w:abstractNumId="6" w15:restartNumberingAfterBreak="0">
    <w:nsid w:val="180228AF"/>
    <w:multiLevelType w:val="hybridMultilevel"/>
    <w:tmpl w:val="621E6D0E"/>
    <w:lvl w:ilvl="0" w:tplc="3582032A">
      <w:start w:val="1"/>
      <w:numFmt w:val="upperLetter"/>
      <w:pStyle w:val="Heading2"/>
      <w:lvlText w:val="%1."/>
      <w:lvlJc w:val="left"/>
      <w:pPr>
        <w:ind w:left="720" w:hanging="360"/>
      </w:pPr>
      <w:rPr>
        <w:rFonts w:ascii="Times New Roman" w:hAnsi="Times New Roman" w:hint="default"/>
        <w:b/>
        <w:bCs w:val="0"/>
        <w:i w:val="0"/>
        <w:iCs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2F51EE"/>
    <w:multiLevelType w:val="hybridMultilevel"/>
    <w:tmpl w:val="DBE6CA08"/>
    <w:lvl w:ilvl="0" w:tplc="14F8EE18">
      <w:start w:val="1"/>
      <w:numFmt w:val="upperRoman"/>
      <w:pStyle w:val="Heading1"/>
      <w:lvlText w:val="%1."/>
      <w:lvlJc w:val="left"/>
      <w:pPr>
        <w:ind w:left="360" w:hanging="360"/>
      </w:pPr>
      <w:rPr>
        <w:rFonts w:hint="default"/>
        <w:b/>
        <w:bC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9A0B8D"/>
    <w:multiLevelType w:val="multilevel"/>
    <w:tmpl w:val="B2889E14"/>
    <w:styleLink w:val="Style1"/>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decimal"/>
      <w:lvlText w:val="%1.%2.%3."/>
      <w:lvlJc w:val="left"/>
      <w:pPr>
        <w:tabs>
          <w:tab w:val="num" w:pos="1985"/>
        </w:tabs>
        <w:ind w:left="1985" w:hanging="851"/>
      </w:pPr>
      <w:rPr>
        <w:rFonts w:hint="default"/>
      </w:rPr>
    </w:lvl>
    <w:lvl w:ilvl="3">
      <w:start w:val="1"/>
      <w:numFmt w:val="lowerLetter"/>
      <w:lvlText w:val="(%4)"/>
      <w:lvlJc w:val="left"/>
      <w:pPr>
        <w:tabs>
          <w:tab w:val="num" w:pos="2552"/>
        </w:tabs>
        <w:ind w:left="2552" w:hanging="567"/>
      </w:pPr>
      <w:rPr>
        <w:rFonts w:hint="default"/>
      </w:rPr>
    </w:lvl>
    <w:lvl w:ilvl="4">
      <w:start w:val="1"/>
      <w:numFmt w:val="lowerRoman"/>
      <w:lvlText w:val="(%5)"/>
      <w:lvlJc w:val="left"/>
      <w:pPr>
        <w:tabs>
          <w:tab w:val="num" w:pos="2835"/>
        </w:tabs>
        <w:ind w:left="2835" w:hanging="283"/>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3D76B66"/>
    <w:multiLevelType w:val="hybridMultilevel"/>
    <w:tmpl w:val="77988A9A"/>
    <w:lvl w:ilvl="0" w:tplc="AEBCF908">
      <w:start w:val="1"/>
      <w:numFmt w:val="decimal"/>
      <w:pStyle w:val="ListParagraph"/>
      <w:lvlText w:val="%1."/>
      <w:lvlJc w:val="left"/>
      <w:pPr>
        <w:ind w:left="1506" w:hanging="360"/>
      </w:pPr>
      <w:rPr>
        <w:rFonts w:hint="default"/>
        <w:b w:val="0"/>
        <w:bCs/>
        <w:i w:val="0"/>
        <w:iCs/>
        <w:color w:val="auto"/>
      </w:rPr>
    </w:lvl>
    <w:lvl w:ilvl="1" w:tplc="3D266AEE">
      <w:start w:val="1"/>
      <w:numFmt w:val="lowerLetter"/>
      <w:lvlText w:val="(%2)"/>
      <w:lvlJc w:val="left"/>
      <w:pPr>
        <w:ind w:left="1440" w:hanging="360"/>
      </w:pPr>
      <w:rPr>
        <w:rFonts w:hint="default"/>
        <w:b w:val="0"/>
        <w:bCs w:val="0"/>
        <w:i w:val="0"/>
        <w:iCs w:val="0"/>
      </w:rPr>
    </w:lvl>
    <w:lvl w:ilvl="2" w:tplc="A7F85A1A">
      <w:start w:val="1"/>
      <w:numFmt w:val="lowerRoman"/>
      <w:lvlText w:val="(%3)"/>
      <w:lvlJc w:val="left"/>
      <w:pPr>
        <w:ind w:left="3060" w:hanging="360"/>
      </w:pPr>
      <w:rPr>
        <w:rFonts w:hint="default"/>
        <w:b w:val="0"/>
        <w:bCs/>
      </w:rPr>
    </w:lvl>
    <w:lvl w:ilvl="3" w:tplc="4009000F">
      <w:start w:val="1"/>
      <w:numFmt w:val="decimal"/>
      <w:lvlText w:val="%4."/>
      <w:lvlJc w:val="left"/>
      <w:pPr>
        <w:ind w:left="3600" w:hanging="360"/>
      </w:pPr>
    </w:lvl>
    <w:lvl w:ilvl="4" w:tplc="9976EF9C">
      <w:numFmt w:val="bullet"/>
      <w:lvlText w:val="•"/>
      <w:lvlJc w:val="left"/>
      <w:pPr>
        <w:ind w:left="4680" w:hanging="720"/>
      </w:pPr>
      <w:rPr>
        <w:rFonts w:ascii="Times New Roman" w:eastAsia="Times New Roman" w:hAnsi="Times New Roman" w:cs="Times New Roman" w:hint="default"/>
      </w:r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3EBB41A6"/>
    <w:multiLevelType w:val="hybridMultilevel"/>
    <w:tmpl w:val="A2AAF2A4"/>
    <w:lvl w:ilvl="0" w:tplc="8174CC9C">
      <w:start w:val="1"/>
      <w:numFmt w:val="decimal"/>
      <w:pStyle w:val="BulletFirst"/>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BE0285"/>
    <w:multiLevelType w:val="hybridMultilevel"/>
    <w:tmpl w:val="3F7E553C"/>
    <w:lvl w:ilvl="0" w:tplc="2752ECF6">
      <w:start w:val="1"/>
      <w:numFmt w:val="lowerLetter"/>
      <w:pStyle w:val="Seconbulletlevel"/>
      <w:lvlText w:val="(%1)"/>
      <w:lvlJc w:val="left"/>
      <w:pPr>
        <w:ind w:left="1080" w:hanging="360"/>
      </w:pPr>
      <w:rPr>
        <w:rFonts w:hint="default"/>
      </w:rPr>
    </w:lvl>
    <w:lvl w:ilvl="1" w:tplc="38CC6950">
      <w:start w:val="1"/>
      <w:numFmt w:val="lowerRoman"/>
      <w:lvlText w:val="(%2)"/>
      <w:lvlJc w:val="left"/>
      <w:pPr>
        <w:ind w:left="1800" w:hanging="360"/>
      </w:pPr>
      <w:rPr>
        <w:rFonts w:hint="default"/>
      </w:rPr>
    </w:lvl>
    <w:lvl w:ilvl="2" w:tplc="40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8DF64A0"/>
    <w:multiLevelType w:val="hybridMultilevel"/>
    <w:tmpl w:val="50564A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E8B282E"/>
    <w:multiLevelType w:val="hybridMultilevel"/>
    <w:tmpl w:val="A8C8737A"/>
    <w:lvl w:ilvl="0" w:tplc="0409000F">
      <w:start w:val="1"/>
      <w:numFmt w:val="decimal"/>
      <w:lvlText w:val="%1."/>
      <w:lvlJc w:val="left"/>
      <w:pPr>
        <w:ind w:left="720" w:hanging="360"/>
      </w:pPr>
    </w:lvl>
    <w:lvl w:ilvl="1" w:tplc="3DC89F62">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26A1618"/>
    <w:multiLevelType w:val="multilevel"/>
    <w:tmpl w:val="AA8A01B0"/>
    <w:lvl w:ilvl="0">
      <w:start w:val="1"/>
      <w:numFmt w:val="decimal"/>
      <w:lvlText w:val="%1."/>
      <w:lvlJc w:val="left"/>
      <w:pPr>
        <w:ind w:left="360" w:hanging="360"/>
      </w:pPr>
      <w:rPr>
        <w:rFonts w:hint="default"/>
        <w:b w:val="0"/>
        <w:bCs w:val="0"/>
      </w:rPr>
    </w:lvl>
    <w:lvl w:ilvl="1">
      <w:start w:val="1"/>
      <w:numFmt w:val="lowerLetter"/>
      <w:lvlText w:val="(%2)"/>
      <w:lvlJc w:val="left"/>
      <w:pPr>
        <w:ind w:left="720" w:hanging="363"/>
      </w:pPr>
      <w:rPr>
        <w:rFonts w:hint="default"/>
      </w:rPr>
    </w:lvl>
    <w:lvl w:ilvl="2">
      <w:start w:val="1"/>
      <w:numFmt w:val="lowerRoman"/>
      <w:lvlText w:val="(%3)"/>
      <w:lvlJc w:val="left"/>
      <w:pPr>
        <w:tabs>
          <w:tab w:val="num" w:pos="1134"/>
        </w:tabs>
        <w:ind w:left="1134" w:hanging="41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36728317">
    <w:abstractNumId w:val="7"/>
  </w:num>
  <w:num w:numId="2" w16cid:durableId="1789162449">
    <w:abstractNumId w:val="9"/>
  </w:num>
  <w:num w:numId="3" w16cid:durableId="217136630">
    <w:abstractNumId w:val="6"/>
  </w:num>
  <w:num w:numId="4" w16cid:durableId="1034773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4312751">
    <w:abstractNumId w:val="11"/>
  </w:num>
  <w:num w:numId="6" w16cid:durableId="1116829173">
    <w:abstractNumId w:val="14"/>
  </w:num>
  <w:num w:numId="7" w16cid:durableId="181475000">
    <w:abstractNumId w:val="5"/>
  </w:num>
  <w:num w:numId="8" w16cid:durableId="1392315470">
    <w:abstractNumId w:val="8"/>
  </w:num>
  <w:num w:numId="9" w16cid:durableId="486475612">
    <w:abstractNumId w:val="10"/>
  </w:num>
  <w:num w:numId="10" w16cid:durableId="611788930">
    <w:abstractNumId w:val="1"/>
  </w:num>
  <w:num w:numId="11" w16cid:durableId="1759212777">
    <w:abstractNumId w:val="0"/>
  </w:num>
  <w:num w:numId="12" w16cid:durableId="1764643887">
    <w:abstractNumId w:val="9"/>
  </w:num>
  <w:num w:numId="13" w16cid:durableId="1576163165">
    <w:abstractNumId w:val="12"/>
  </w:num>
  <w:num w:numId="14" w16cid:durableId="1349454760">
    <w:abstractNumId w:val="9"/>
  </w:num>
  <w:num w:numId="15" w16cid:durableId="1644772577">
    <w:abstractNumId w:val="9"/>
  </w:num>
  <w:num w:numId="16" w16cid:durableId="2082019076">
    <w:abstractNumId w:val="3"/>
  </w:num>
  <w:num w:numId="17" w16cid:durableId="526258331">
    <w:abstractNumId w:val="9"/>
  </w:num>
  <w:num w:numId="18" w16cid:durableId="2702114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2325281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U2NDe2MDK1sDCxtDRX0lEKTi0uzszPAykwqQUAzFtEuiwAAAA="/>
  </w:docVars>
  <w:rsids>
    <w:rsidRoot w:val="003E0610"/>
    <w:rsid w:val="00001D9D"/>
    <w:rsid w:val="00002DC3"/>
    <w:rsid w:val="00007168"/>
    <w:rsid w:val="00010903"/>
    <w:rsid w:val="000111E7"/>
    <w:rsid w:val="000119AC"/>
    <w:rsid w:val="00016F8C"/>
    <w:rsid w:val="00017FD9"/>
    <w:rsid w:val="00023E8F"/>
    <w:rsid w:val="00036249"/>
    <w:rsid w:val="00062CF0"/>
    <w:rsid w:val="00065CAF"/>
    <w:rsid w:val="000704FC"/>
    <w:rsid w:val="00074B73"/>
    <w:rsid w:val="00077AFF"/>
    <w:rsid w:val="00080358"/>
    <w:rsid w:val="000849D7"/>
    <w:rsid w:val="000867F7"/>
    <w:rsid w:val="00086B4C"/>
    <w:rsid w:val="000878D7"/>
    <w:rsid w:val="000905C2"/>
    <w:rsid w:val="00094EB2"/>
    <w:rsid w:val="000A19CE"/>
    <w:rsid w:val="000B6AD0"/>
    <w:rsid w:val="000D155C"/>
    <w:rsid w:val="000D46DE"/>
    <w:rsid w:val="000E7A49"/>
    <w:rsid w:val="000F175E"/>
    <w:rsid w:val="000F24BB"/>
    <w:rsid w:val="000F7AF1"/>
    <w:rsid w:val="00100B21"/>
    <w:rsid w:val="00100F7F"/>
    <w:rsid w:val="00101C30"/>
    <w:rsid w:val="001030C8"/>
    <w:rsid w:val="00103491"/>
    <w:rsid w:val="001131E9"/>
    <w:rsid w:val="00114F26"/>
    <w:rsid w:val="00114FB6"/>
    <w:rsid w:val="00115FDA"/>
    <w:rsid w:val="001228EB"/>
    <w:rsid w:val="001241D2"/>
    <w:rsid w:val="00132E0F"/>
    <w:rsid w:val="0013364E"/>
    <w:rsid w:val="001337FB"/>
    <w:rsid w:val="0014117C"/>
    <w:rsid w:val="00144E0C"/>
    <w:rsid w:val="00147474"/>
    <w:rsid w:val="00152A2A"/>
    <w:rsid w:val="00155209"/>
    <w:rsid w:val="001559EB"/>
    <w:rsid w:val="00155FCB"/>
    <w:rsid w:val="001656D7"/>
    <w:rsid w:val="00171A90"/>
    <w:rsid w:val="00172DB0"/>
    <w:rsid w:val="00182788"/>
    <w:rsid w:val="001858DA"/>
    <w:rsid w:val="00186398"/>
    <w:rsid w:val="001911E8"/>
    <w:rsid w:val="0019633E"/>
    <w:rsid w:val="001A203D"/>
    <w:rsid w:val="001B34A8"/>
    <w:rsid w:val="001C137A"/>
    <w:rsid w:val="001C2C67"/>
    <w:rsid w:val="001C3EA1"/>
    <w:rsid w:val="001C4D25"/>
    <w:rsid w:val="001C5903"/>
    <w:rsid w:val="001D7BCF"/>
    <w:rsid w:val="001E2603"/>
    <w:rsid w:val="001F1DB6"/>
    <w:rsid w:val="00203FEC"/>
    <w:rsid w:val="0020596A"/>
    <w:rsid w:val="0020687C"/>
    <w:rsid w:val="0021006A"/>
    <w:rsid w:val="0022047F"/>
    <w:rsid w:val="0022726F"/>
    <w:rsid w:val="00231DFB"/>
    <w:rsid w:val="00250C1B"/>
    <w:rsid w:val="00250D30"/>
    <w:rsid w:val="00256FD7"/>
    <w:rsid w:val="002570A1"/>
    <w:rsid w:val="0026145B"/>
    <w:rsid w:val="00262779"/>
    <w:rsid w:val="00263CD3"/>
    <w:rsid w:val="00264792"/>
    <w:rsid w:val="00265093"/>
    <w:rsid w:val="0027035E"/>
    <w:rsid w:val="00277D9C"/>
    <w:rsid w:val="0028139E"/>
    <w:rsid w:val="00282A48"/>
    <w:rsid w:val="00286DE1"/>
    <w:rsid w:val="00291FF4"/>
    <w:rsid w:val="0029228C"/>
    <w:rsid w:val="002A13A4"/>
    <w:rsid w:val="002A2C3B"/>
    <w:rsid w:val="002B018D"/>
    <w:rsid w:val="002B0D9E"/>
    <w:rsid w:val="002B54C3"/>
    <w:rsid w:val="002B56E6"/>
    <w:rsid w:val="002B7A4E"/>
    <w:rsid w:val="002C19CD"/>
    <w:rsid w:val="002C29DC"/>
    <w:rsid w:val="002C3667"/>
    <w:rsid w:val="002D35E9"/>
    <w:rsid w:val="002E27B6"/>
    <w:rsid w:val="002F5725"/>
    <w:rsid w:val="003139F0"/>
    <w:rsid w:val="00314816"/>
    <w:rsid w:val="0031703A"/>
    <w:rsid w:val="00317EEA"/>
    <w:rsid w:val="00330124"/>
    <w:rsid w:val="00335751"/>
    <w:rsid w:val="003362F5"/>
    <w:rsid w:val="00336D21"/>
    <w:rsid w:val="0033786F"/>
    <w:rsid w:val="003411C0"/>
    <w:rsid w:val="00351105"/>
    <w:rsid w:val="003515B9"/>
    <w:rsid w:val="00351C59"/>
    <w:rsid w:val="00355605"/>
    <w:rsid w:val="00355BA3"/>
    <w:rsid w:val="00360478"/>
    <w:rsid w:val="00366385"/>
    <w:rsid w:val="003663E6"/>
    <w:rsid w:val="00376686"/>
    <w:rsid w:val="00383E46"/>
    <w:rsid w:val="00386D3F"/>
    <w:rsid w:val="003938B3"/>
    <w:rsid w:val="003A0342"/>
    <w:rsid w:val="003B2E34"/>
    <w:rsid w:val="003B3580"/>
    <w:rsid w:val="003B7AA4"/>
    <w:rsid w:val="003D1834"/>
    <w:rsid w:val="003E0610"/>
    <w:rsid w:val="003E1417"/>
    <w:rsid w:val="003E4503"/>
    <w:rsid w:val="003E465E"/>
    <w:rsid w:val="003F313B"/>
    <w:rsid w:val="003F74B5"/>
    <w:rsid w:val="00401495"/>
    <w:rsid w:val="00407F4B"/>
    <w:rsid w:val="0042085D"/>
    <w:rsid w:val="004278D1"/>
    <w:rsid w:val="00432B92"/>
    <w:rsid w:val="00441A9F"/>
    <w:rsid w:val="00443B5F"/>
    <w:rsid w:val="00446E8A"/>
    <w:rsid w:val="004559EC"/>
    <w:rsid w:val="0046063E"/>
    <w:rsid w:val="0047213E"/>
    <w:rsid w:val="00472C6A"/>
    <w:rsid w:val="00480B9A"/>
    <w:rsid w:val="00496665"/>
    <w:rsid w:val="004A089F"/>
    <w:rsid w:val="004B134C"/>
    <w:rsid w:val="004B3D17"/>
    <w:rsid w:val="004B7117"/>
    <w:rsid w:val="004B7E3C"/>
    <w:rsid w:val="004C10E7"/>
    <w:rsid w:val="004C6849"/>
    <w:rsid w:val="004C6C2E"/>
    <w:rsid w:val="004D451D"/>
    <w:rsid w:val="004D5BBA"/>
    <w:rsid w:val="004E329E"/>
    <w:rsid w:val="004F2737"/>
    <w:rsid w:val="004F4045"/>
    <w:rsid w:val="004F63CB"/>
    <w:rsid w:val="00505E7F"/>
    <w:rsid w:val="0050763F"/>
    <w:rsid w:val="005127A4"/>
    <w:rsid w:val="005250D7"/>
    <w:rsid w:val="00525778"/>
    <w:rsid w:val="005263C4"/>
    <w:rsid w:val="00545A5F"/>
    <w:rsid w:val="00550176"/>
    <w:rsid w:val="005520C8"/>
    <w:rsid w:val="00555C36"/>
    <w:rsid w:val="00561EA7"/>
    <w:rsid w:val="00577CBB"/>
    <w:rsid w:val="00581389"/>
    <w:rsid w:val="00593852"/>
    <w:rsid w:val="0059683E"/>
    <w:rsid w:val="005A00B9"/>
    <w:rsid w:val="005A0193"/>
    <w:rsid w:val="005A060B"/>
    <w:rsid w:val="005A2208"/>
    <w:rsid w:val="005B5F85"/>
    <w:rsid w:val="005B7A5B"/>
    <w:rsid w:val="005C3218"/>
    <w:rsid w:val="005C3D1F"/>
    <w:rsid w:val="005C634F"/>
    <w:rsid w:val="005D06AD"/>
    <w:rsid w:val="005D1822"/>
    <w:rsid w:val="005D1BA2"/>
    <w:rsid w:val="005D7ED6"/>
    <w:rsid w:val="005E4128"/>
    <w:rsid w:val="005F27F6"/>
    <w:rsid w:val="005F3174"/>
    <w:rsid w:val="005F35BA"/>
    <w:rsid w:val="005F7E3C"/>
    <w:rsid w:val="00601092"/>
    <w:rsid w:val="006038B4"/>
    <w:rsid w:val="0060453F"/>
    <w:rsid w:val="00610BD6"/>
    <w:rsid w:val="00612771"/>
    <w:rsid w:val="006176D6"/>
    <w:rsid w:val="00620339"/>
    <w:rsid w:val="006250BE"/>
    <w:rsid w:val="0062594E"/>
    <w:rsid w:val="00627503"/>
    <w:rsid w:val="006319C4"/>
    <w:rsid w:val="00646D5C"/>
    <w:rsid w:val="00655006"/>
    <w:rsid w:val="0065690D"/>
    <w:rsid w:val="00661326"/>
    <w:rsid w:val="00661360"/>
    <w:rsid w:val="00663DB3"/>
    <w:rsid w:val="00673AE9"/>
    <w:rsid w:val="00685E65"/>
    <w:rsid w:val="006919F5"/>
    <w:rsid w:val="00693D9F"/>
    <w:rsid w:val="00697A8A"/>
    <w:rsid w:val="006A0450"/>
    <w:rsid w:val="006A294A"/>
    <w:rsid w:val="006A5DCA"/>
    <w:rsid w:val="006B0CF7"/>
    <w:rsid w:val="006B19DF"/>
    <w:rsid w:val="006B7613"/>
    <w:rsid w:val="006B7C5A"/>
    <w:rsid w:val="006C0119"/>
    <w:rsid w:val="006C3441"/>
    <w:rsid w:val="006D03A2"/>
    <w:rsid w:val="006D103F"/>
    <w:rsid w:val="006D2531"/>
    <w:rsid w:val="006D27FA"/>
    <w:rsid w:val="006D2EDE"/>
    <w:rsid w:val="006D3B25"/>
    <w:rsid w:val="006E348D"/>
    <w:rsid w:val="006E46A9"/>
    <w:rsid w:val="006F1CE8"/>
    <w:rsid w:val="006F6A7B"/>
    <w:rsid w:val="006F7E42"/>
    <w:rsid w:val="00701E0C"/>
    <w:rsid w:val="00701F97"/>
    <w:rsid w:val="00702A4A"/>
    <w:rsid w:val="0070554E"/>
    <w:rsid w:val="00705BD0"/>
    <w:rsid w:val="00714ABA"/>
    <w:rsid w:val="0072455E"/>
    <w:rsid w:val="0072592E"/>
    <w:rsid w:val="007260A5"/>
    <w:rsid w:val="007340E4"/>
    <w:rsid w:val="00735ED2"/>
    <w:rsid w:val="00737E56"/>
    <w:rsid w:val="00751A2E"/>
    <w:rsid w:val="00760493"/>
    <w:rsid w:val="0076061E"/>
    <w:rsid w:val="00760750"/>
    <w:rsid w:val="00762A0B"/>
    <w:rsid w:val="007633BB"/>
    <w:rsid w:val="00764B23"/>
    <w:rsid w:val="00766C89"/>
    <w:rsid w:val="00770A81"/>
    <w:rsid w:val="007739E3"/>
    <w:rsid w:val="00773F2B"/>
    <w:rsid w:val="007761DA"/>
    <w:rsid w:val="0077681C"/>
    <w:rsid w:val="0078036B"/>
    <w:rsid w:val="00781B6E"/>
    <w:rsid w:val="0078253B"/>
    <w:rsid w:val="007826DA"/>
    <w:rsid w:val="00782D6B"/>
    <w:rsid w:val="0078704B"/>
    <w:rsid w:val="007A0E7C"/>
    <w:rsid w:val="007A2DD4"/>
    <w:rsid w:val="007A3E66"/>
    <w:rsid w:val="007A4019"/>
    <w:rsid w:val="007A5E1D"/>
    <w:rsid w:val="007B255C"/>
    <w:rsid w:val="007B41B1"/>
    <w:rsid w:val="007B5BEA"/>
    <w:rsid w:val="007B739C"/>
    <w:rsid w:val="007C06ED"/>
    <w:rsid w:val="007C493B"/>
    <w:rsid w:val="007C4D17"/>
    <w:rsid w:val="007D4172"/>
    <w:rsid w:val="007D78CF"/>
    <w:rsid w:val="007E1823"/>
    <w:rsid w:val="007F0E93"/>
    <w:rsid w:val="007F2418"/>
    <w:rsid w:val="007F509B"/>
    <w:rsid w:val="008069E2"/>
    <w:rsid w:val="00812877"/>
    <w:rsid w:val="008140D3"/>
    <w:rsid w:val="00816231"/>
    <w:rsid w:val="008217CA"/>
    <w:rsid w:val="00823245"/>
    <w:rsid w:val="0082431E"/>
    <w:rsid w:val="008270C2"/>
    <w:rsid w:val="00833A17"/>
    <w:rsid w:val="00835885"/>
    <w:rsid w:val="00836AD5"/>
    <w:rsid w:val="00850818"/>
    <w:rsid w:val="00861394"/>
    <w:rsid w:val="00872E6D"/>
    <w:rsid w:val="00881792"/>
    <w:rsid w:val="00882675"/>
    <w:rsid w:val="00886021"/>
    <w:rsid w:val="00887492"/>
    <w:rsid w:val="008A7FA2"/>
    <w:rsid w:val="008B040A"/>
    <w:rsid w:val="008B2364"/>
    <w:rsid w:val="008C221D"/>
    <w:rsid w:val="008E3F35"/>
    <w:rsid w:val="008F7D98"/>
    <w:rsid w:val="00902034"/>
    <w:rsid w:val="0090275C"/>
    <w:rsid w:val="0090597B"/>
    <w:rsid w:val="009076BA"/>
    <w:rsid w:val="00913B38"/>
    <w:rsid w:val="009145AF"/>
    <w:rsid w:val="00915EF1"/>
    <w:rsid w:val="00924CCF"/>
    <w:rsid w:val="00925B82"/>
    <w:rsid w:val="00927CDB"/>
    <w:rsid w:val="00942A45"/>
    <w:rsid w:val="00942CB2"/>
    <w:rsid w:val="00954DB7"/>
    <w:rsid w:val="00962174"/>
    <w:rsid w:val="009710FA"/>
    <w:rsid w:val="0097242C"/>
    <w:rsid w:val="00980FDE"/>
    <w:rsid w:val="00982651"/>
    <w:rsid w:val="009868FF"/>
    <w:rsid w:val="00997E85"/>
    <w:rsid w:val="009A3A40"/>
    <w:rsid w:val="009A75B5"/>
    <w:rsid w:val="009B78A7"/>
    <w:rsid w:val="009C3CD5"/>
    <w:rsid w:val="009C5919"/>
    <w:rsid w:val="009C7FFC"/>
    <w:rsid w:val="009D75BA"/>
    <w:rsid w:val="009E415A"/>
    <w:rsid w:val="009E6CFD"/>
    <w:rsid w:val="009E74F3"/>
    <w:rsid w:val="009F6BC2"/>
    <w:rsid w:val="009F78F2"/>
    <w:rsid w:val="00A0698E"/>
    <w:rsid w:val="00A23AE5"/>
    <w:rsid w:val="00A26281"/>
    <w:rsid w:val="00A300AF"/>
    <w:rsid w:val="00A375ED"/>
    <w:rsid w:val="00A54A3F"/>
    <w:rsid w:val="00A579E4"/>
    <w:rsid w:val="00A7124C"/>
    <w:rsid w:val="00A7166A"/>
    <w:rsid w:val="00A720FB"/>
    <w:rsid w:val="00A7395B"/>
    <w:rsid w:val="00A7616B"/>
    <w:rsid w:val="00A80EE0"/>
    <w:rsid w:val="00A858B9"/>
    <w:rsid w:val="00A908DA"/>
    <w:rsid w:val="00AA1637"/>
    <w:rsid w:val="00AA4012"/>
    <w:rsid w:val="00AA4827"/>
    <w:rsid w:val="00AA4DAC"/>
    <w:rsid w:val="00AA6305"/>
    <w:rsid w:val="00AB1348"/>
    <w:rsid w:val="00AB1F09"/>
    <w:rsid w:val="00AB25D0"/>
    <w:rsid w:val="00AB393E"/>
    <w:rsid w:val="00AC18E9"/>
    <w:rsid w:val="00AC2081"/>
    <w:rsid w:val="00AC4DAB"/>
    <w:rsid w:val="00AD0B01"/>
    <w:rsid w:val="00AD52F6"/>
    <w:rsid w:val="00AE22E3"/>
    <w:rsid w:val="00AF03FA"/>
    <w:rsid w:val="00AF5714"/>
    <w:rsid w:val="00AF79A5"/>
    <w:rsid w:val="00B3473D"/>
    <w:rsid w:val="00B37302"/>
    <w:rsid w:val="00B45812"/>
    <w:rsid w:val="00B51E2D"/>
    <w:rsid w:val="00B57EE1"/>
    <w:rsid w:val="00B64AC8"/>
    <w:rsid w:val="00B75A4A"/>
    <w:rsid w:val="00B801F9"/>
    <w:rsid w:val="00B80E6D"/>
    <w:rsid w:val="00B83D5A"/>
    <w:rsid w:val="00B8414E"/>
    <w:rsid w:val="00B92374"/>
    <w:rsid w:val="00B92B58"/>
    <w:rsid w:val="00BA0A17"/>
    <w:rsid w:val="00BA3E4A"/>
    <w:rsid w:val="00BA67D3"/>
    <w:rsid w:val="00BB0FB7"/>
    <w:rsid w:val="00BB2EAE"/>
    <w:rsid w:val="00BB41CC"/>
    <w:rsid w:val="00BB7326"/>
    <w:rsid w:val="00BC3AA5"/>
    <w:rsid w:val="00BC4791"/>
    <w:rsid w:val="00BD06ED"/>
    <w:rsid w:val="00BD245D"/>
    <w:rsid w:val="00BD319F"/>
    <w:rsid w:val="00BD7A25"/>
    <w:rsid w:val="00BE3265"/>
    <w:rsid w:val="00BF22E4"/>
    <w:rsid w:val="00C1170C"/>
    <w:rsid w:val="00C21DE0"/>
    <w:rsid w:val="00C24E6F"/>
    <w:rsid w:val="00C27B07"/>
    <w:rsid w:val="00C307A3"/>
    <w:rsid w:val="00C404E4"/>
    <w:rsid w:val="00C50302"/>
    <w:rsid w:val="00C50B19"/>
    <w:rsid w:val="00C53398"/>
    <w:rsid w:val="00C571D1"/>
    <w:rsid w:val="00C706A1"/>
    <w:rsid w:val="00C70DDD"/>
    <w:rsid w:val="00C80CD5"/>
    <w:rsid w:val="00C81EF3"/>
    <w:rsid w:val="00C923AB"/>
    <w:rsid w:val="00C96D7F"/>
    <w:rsid w:val="00CA031D"/>
    <w:rsid w:val="00CC4358"/>
    <w:rsid w:val="00CD332B"/>
    <w:rsid w:val="00CD415D"/>
    <w:rsid w:val="00CD58AB"/>
    <w:rsid w:val="00CD722D"/>
    <w:rsid w:val="00CE1C10"/>
    <w:rsid w:val="00CE31B3"/>
    <w:rsid w:val="00CE526C"/>
    <w:rsid w:val="00CF0D48"/>
    <w:rsid w:val="00CF4214"/>
    <w:rsid w:val="00CF56C1"/>
    <w:rsid w:val="00D03AD2"/>
    <w:rsid w:val="00D12784"/>
    <w:rsid w:val="00D15AB2"/>
    <w:rsid w:val="00D17B07"/>
    <w:rsid w:val="00D208B0"/>
    <w:rsid w:val="00D22875"/>
    <w:rsid w:val="00D33BF7"/>
    <w:rsid w:val="00D3777A"/>
    <w:rsid w:val="00D54F8B"/>
    <w:rsid w:val="00D5587C"/>
    <w:rsid w:val="00D57512"/>
    <w:rsid w:val="00D60890"/>
    <w:rsid w:val="00D63112"/>
    <w:rsid w:val="00D64DC5"/>
    <w:rsid w:val="00D86A9B"/>
    <w:rsid w:val="00D87E38"/>
    <w:rsid w:val="00D9338D"/>
    <w:rsid w:val="00DA1789"/>
    <w:rsid w:val="00DA37A8"/>
    <w:rsid w:val="00DA37D3"/>
    <w:rsid w:val="00DA6981"/>
    <w:rsid w:val="00DB1838"/>
    <w:rsid w:val="00DB4929"/>
    <w:rsid w:val="00DC1C52"/>
    <w:rsid w:val="00DD1C87"/>
    <w:rsid w:val="00DD4BF1"/>
    <w:rsid w:val="00DD68EF"/>
    <w:rsid w:val="00DE41A4"/>
    <w:rsid w:val="00DF41A5"/>
    <w:rsid w:val="00E06C71"/>
    <w:rsid w:val="00E13583"/>
    <w:rsid w:val="00E20DDD"/>
    <w:rsid w:val="00E2633E"/>
    <w:rsid w:val="00E41AEE"/>
    <w:rsid w:val="00E50B89"/>
    <w:rsid w:val="00E51372"/>
    <w:rsid w:val="00E571F7"/>
    <w:rsid w:val="00E625ED"/>
    <w:rsid w:val="00E634BA"/>
    <w:rsid w:val="00E73674"/>
    <w:rsid w:val="00E74DD9"/>
    <w:rsid w:val="00E861AB"/>
    <w:rsid w:val="00E933F3"/>
    <w:rsid w:val="00E964EC"/>
    <w:rsid w:val="00EA11C8"/>
    <w:rsid w:val="00EA2705"/>
    <w:rsid w:val="00EA3006"/>
    <w:rsid w:val="00EB4C2B"/>
    <w:rsid w:val="00EB6B88"/>
    <w:rsid w:val="00EB7067"/>
    <w:rsid w:val="00EC5AEB"/>
    <w:rsid w:val="00ED0CC6"/>
    <w:rsid w:val="00ED30A4"/>
    <w:rsid w:val="00ED3B29"/>
    <w:rsid w:val="00ED63FB"/>
    <w:rsid w:val="00EE0075"/>
    <w:rsid w:val="00EE7173"/>
    <w:rsid w:val="00EF5E37"/>
    <w:rsid w:val="00EF75E4"/>
    <w:rsid w:val="00F01060"/>
    <w:rsid w:val="00F041F1"/>
    <w:rsid w:val="00F04434"/>
    <w:rsid w:val="00F076B3"/>
    <w:rsid w:val="00F17D06"/>
    <w:rsid w:val="00F23662"/>
    <w:rsid w:val="00F41262"/>
    <w:rsid w:val="00F472C9"/>
    <w:rsid w:val="00F47F56"/>
    <w:rsid w:val="00F611D5"/>
    <w:rsid w:val="00F629CA"/>
    <w:rsid w:val="00F753C3"/>
    <w:rsid w:val="00F811A2"/>
    <w:rsid w:val="00F8352D"/>
    <w:rsid w:val="00F843F8"/>
    <w:rsid w:val="00F8789B"/>
    <w:rsid w:val="00F9081B"/>
    <w:rsid w:val="00FA5183"/>
    <w:rsid w:val="00FA6D74"/>
    <w:rsid w:val="00FB3DBC"/>
    <w:rsid w:val="00FB466E"/>
    <w:rsid w:val="00FB73E4"/>
    <w:rsid w:val="00FC3421"/>
    <w:rsid w:val="00FC48BB"/>
    <w:rsid w:val="00FC5288"/>
    <w:rsid w:val="00FC5E46"/>
    <w:rsid w:val="00FD31FA"/>
    <w:rsid w:val="00FD5CAE"/>
    <w:rsid w:val="00FD5F5F"/>
    <w:rsid w:val="00FE1E88"/>
    <w:rsid w:val="00FE7B05"/>
    <w:rsid w:val="00FF02A3"/>
    <w:rsid w:val="00FF15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C98C3"/>
  <w15:chartTrackingRefBased/>
  <w15:docId w15:val="{064A783D-9752-4161-A34A-C827C76C5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Cs w:val="22"/>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610"/>
    <w:rPr>
      <w:rFonts w:eastAsia="Times New Roman" w:cs="Times New Roman"/>
      <w:szCs w:val="20"/>
      <w:lang w:val="en-GB"/>
    </w:rPr>
  </w:style>
  <w:style w:type="paragraph" w:styleId="Heading1">
    <w:name w:val="heading 1"/>
    <w:basedOn w:val="ListParagraph"/>
    <w:next w:val="Normal"/>
    <w:link w:val="Heading1Char"/>
    <w:uiPriority w:val="9"/>
    <w:qFormat/>
    <w:rsid w:val="003E0610"/>
    <w:pPr>
      <w:numPr>
        <w:numId w:val="1"/>
      </w:numPr>
      <w:outlineLvl w:val="0"/>
    </w:pPr>
    <w:rPr>
      <w:rFonts w:ascii="Times New Roman Bold" w:hAnsi="Times New Roman Bold"/>
      <w:b/>
      <w:bCs/>
      <w:caps/>
    </w:rPr>
  </w:style>
  <w:style w:type="paragraph" w:styleId="Heading2">
    <w:name w:val="heading 2"/>
    <w:basedOn w:val="Normal"/>
    <w:next w:val="Normal"/>
    <w:link w:val="Heading2Char"/>
    <w:uiPriority w:val="9"/>
    <w:unhideWhenUsed/>
    <w:qFormat/>
    <w:rsid w:val="006250BE"/>
    <w:pPr>
      <w:keepNext/>
      <w:keepLines/>
      <w:numPr>
        <w:numId w:val="3"/>
      </w:numPr>
      <w:spacing w:before="40" w:after="0"/>
      <w:outlineLvl w:val="1"/>
    </w:pPr>
    <w:rPr>
      <w:rFonts w:eastAsiaTheme="majorEastAsia"/>
      <w:smallCaps/>
    </w:rPr>
  </w:style>
  <w:style w:type="paragraph" w:styleId="Heading3">
    <w:name w:val="heading 3"/>
    <w:basedOn w:val="Normal"/>
    <w:next w:val="Normal"/>
    <w:link w:val="Heading3Char"/>
    <w:uiPriority w:val="9"/>
    <w:unhideWhenUsed/>
    <w:qFormat/>
    <w:rsid w:val="00CD33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D332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332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610"/>
    <w:rPr>
      <w:rFonts w:ascii="Times New Roman Bold" w:eastAsia="Times New Roman" w:hAnsi="Times New Roman Bold" w:cs="Times New Roman"/>
      <w:b/>
      <w:bCs/>
      <w:caps/>
      <w:szCs w:val="20"/>
      <w:lang w:val="en-GB"/>
    </w:rPr>
  </w:style>
  <w:style w:type="paragraph" w:styleId="ListParagraph">
    <w:name w:val="List Paragraph"/>
    <w:aliases w:val="First bullet point"/>
    <w:basedOn w:val="Normal"/>
    <w:link w:val="ListParagraphChar"/>
    <w:uiPriority w:val="34"/>
    <w:qFormat/>
    <w:rsid w:val="003E0610"/>
    <w:pPr>
      <w:numPr>
        <w:numId w:val="2"/>
      </w:numPr>
    </w:pPr>
  </w:style>
  <w:style w:type="paragraph" w:styleId="FootnoteText">
    <w:name w:val="footnote text"/>
    <w:basedOn w:val="Normal"/>
    <w:link w:val="FootnoteTextChar"/>
    <w:uiPriority w:val="99"/>
    <w:unhideWhenUsed/>
    <w:rsid w:val="003E0610"/>
    <w:pPr>
      <w:spacing w:line="240" w:lineRule="auto"/>
    </w:pPr>
    <w:rPr>
      <w:sz w:val="16"/>
      <w:szCs w:val="24"/>
    </w:rPr>
  </w:style>
  <w:style w:type="character" w:customStyle="1" w:styleId="FootnoteTextChar">
    <w:name w:val="Footnote Text Char"/>
    <w:basedOn w:val="DefaultParagraphFont"/>
    <w:link w:val="FootnoteText"/>
    <w:uiPriority w:val="99"/>
    <w:rsid w:val="003E0610"/>
    <w:rPr>
      <w:rFonts w:eastAsia="Times New Roman" w:cs="Times New Roman"/>
      <w:sz w:val="16"/>
      <w:szCs w:val="24"/>
      <w:lang w:val="en-IN"/>
    </w:rPr>
  </w:style>
  <w:style w:type="character" w:styleId="FootnoteReference">
    <w:name w:val="footnote reference"/>
    <w:basedOn w:val="DefaultParagraphFont"/>
    <w:uiPriority w:val="99"/>
    <w:unhideWhenUsed/>
    <w:rsid w:val="003E0610"/>
    <w:rPr>
      <w:vertAlign w:val="superscript"/>
    </w:rPr>
  </w:style>
  <w:style w:type="character" w:customStyle="1" w:styleId="ListParagraphChar">
    <w:name w:val="List Paragraph Char"/>
    <w:aliases w:val="First bullet point Char"/>
    <w:link w:val="ListParagraph"/>
    <w:uiPriority w:val="34"/>
    <w:locked/>
    <w:rsid w:val="003E0610"/>
    <w:rPr>
      <w:rFonts w:eastAsia="Times New Roman" w:cs="Times New Roman"/>
      <w:szCs w:val="20"/>
      <w:lang w:val="en-GB"/>
    </w:rPr>
  </w:style>
  <w:style w:type="character" w:customStyle="1" w:styleId="Heading2Char">
    <w:name w:val="Heading 2 Char"/>
    <w:basedOn w:val="DefaultParagraphFont"/>
    <w:link w:val="Heading2"/>
    <w:uiPriority w:val="9"/>
    <w:rsid w:val="006250BE"/>
    <w:rPr>
      <w:rFonts w:eastAsiaTheme="majorEastAsia" w:cs="Times New Roman"/>
      <w:smallCaps/>
      <w:szCs w:val="20"/>
      <w:lang w:val="en-GB"/>
    </w:rPr>
  </w:style>
  <w:style w:type="paragraph" w:styleId="Header">
    <w:name w:val="header"/>
    <w:basedOn w:val="Normal"/>
    <w:link w:val="HeaderChar"/>
    <w:uiPriority w:val="99"/>
    <w:unhideWhenUsed/>
    <w:rsid w:val="00407F4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07F4B"/>
    <w:rPr>
      <w:rFonts w:eastAsia="Times New Roman" w:cs="Times New Roman"/>
      <w:szCs w:val="20"/>
      <w:lang w:val="en-IN"/>
    </w:rPr>
  </w:style>
  <w:style w:type="paragraph" w:styleId="Footer">
    <w:name w:val="footer"/>
    <w:basedOn w:val="Normal"/>
    <w:link w:val="FooterChar"/>
    <w:uiPriority w:val="99"/>
    <w:unhideWhenUsed/>
    <w:rsid w:val="00407F4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07F4B"/>
    <w:rPr>
      <w:rFonts w:eastAsia="Times New Roman" w:cs="Times New Roman"/>
      <w:szCs w:val="20"/>
      <w:lang w:val="en-IN"/>
    </w:rPr>
  </w:style>
  <w:style w:type="paragraph" w:customStyle="1" w:styleId="TitleClause">
    <w:name w:val="Title Clause"/>
    <w:basedOn w:val="Normal"/>
    <w:rsid w:val="00E933F3"/>
    <w:pPr>
      <w:keepNext/>
      <w:numPr>
        <w:numId w:val="4"/>
      </w:numPr>
      <w:spacing w:before="240" w:after="240" w:line="300" w:lineRule="atLeast"/>
      <w:outlineLvl w:val="0"/>
    </w:pPr>
    <w:rPr>
      <w:rFonts w:ascii="Arial" w:eastAsia="Arial Unicode MS" w:hAnsi="Arial" w:cs="Arial"/>
      <w:b/>
      <w:color w:val="000000"/>
      <w:kern w:val="28"/>
      <w:sz w:val="22"/>
    </w:rPr>
  </w:style>
  <w:style w:type="paragraph" w:customStyle="1" w:styleId="Untitledsubclause1">
    <w:name w:val="Untitled subclause 1"/>
    <w:basedOn w:val="Normal"/>
    <w:rsid w:val="00E933F3"/>
    <w:pPr>
      <w:numPr>
        <w:ilvl w:val="1"/>
        <w:numId w:val="4"/>
      </w:numPr>
      <w:spacing w:before="280" w:line="300" w:lineRule="atLeast"/>
      <w:outlineLvl w:val="1"/>
    </w:pPr>
    <w:rPr>
      <w:rFonts w:ascii="Arial" w:eastAsia="Arial Unicode MS" w:hAnsi="Arial" w:cs="Arial"/>
      <w:color w:val="000000"/>
      <w:sz w:val="22"/>
    </w:rPr>
  </w:style>
  <w:style w:type="paragraph" w:customStyle="1" w:styleId="Untitledsubclause2">
    <w:name w:val="Untitled subclause 2"/>
    <w:basedOn w:val="Normal"/>
    <w:rsid w:val="00E933F3"/>
    <w:pPr>
      <w:numPr>
        <w:ilvl w:val="2"/>
        <w:numId w:val="4"/>
      </w:numPr>
      <w:spacing w:before="0" w:line="300" w:lineRule="atLeast"/>
      <w:outlineLvl w:val="2"/>
    </w:pPr>
    <w:rPr>
      <w:rFonts w:ascii="Arial" w:eastAsia="Arial Unicode MS" w:hAnsi="Arial" w:cs="Arial"/>
      <w:color w:val="000000"/>
      <w:sz w:val="22"/>
    </w:rPr>
  </w:style>
  <w:style w:type="paragraph" w:customStyle="1" w:styleId="Untitledsubclause3">
    <w:name w:val="Untitled subclause 3"/>
    <w:basedOn w:val="Normal"/>
    <w:rsid w:val="00E933F3"/>
    <w:pPr>
      <w:numPr>
        <w:ilvl w:val="3"/>
        <w:numId w:val="4"/>
      </w:numPr>
      <w:tabs>
        <w:tab w:val="left" w:pos="2261"/>
      </w:tabs>
      <w:spacing w:before="0" w:line="300" w:lineRule="atLeast"/>
      <w:outlineLvl w:val="3"/>
    </w:pPr>
    <w:rPr>
      <w:rFonts w:ascii="Arial" w:eastAsia="Arial Unicode MS" w:hAnsi="Arial" w:cs="Arial"/>
      <w:color w:val="000000"/>
      <w:sz w:val="22"/>
    </w:rPr>
  </w:style>
  <w:style w:type="paragraph" w:customStyle="1" w:styleId="Untitledsubclause4">
    <w:name w:val="Untitled subclause 4"/>
    <w:basedOn w:val="Normal"/>
    <w:rsid w:val="00E933F3"/>
    <w:pPr>
      <w:numPr>
        <w:ilvl w:val="4"/>
        <w:numId w:val="4"/>
      </w:numPr>
      <w:spacing w:before="0" w:line="300" w:lineRule="atLeast"/>
      <w:outlineLvl w:val="4"/>
    </w:pPr>
    <w:rPr>
      <w:rFonts w:ascii="Arial" w:eastAsia="Arial Unicode MS" w:hAnsi="Arial" w:cs="Arial"/>
      <w:color w:val="000000"/>
      <w:sz w:val="22"/>
    </w:rPr>
  </w:style>
  <w:style w:type="paragraph" w:customStyle="1" w:styleId="UntitledClause">
    <w:name w:val="Untitled Clause"/>
    <w:basedOn w:val="TitleClause"/>
    <w:qFormat/>
    <w:rsid w:val="00E933F3"/>
    <w:pPr>
      <w:spacing w:before="120"/>
    </w:pPr>
    <w:rPr>
      <w:b w:val="0"/>
    </w:rPr>
  </w:style>
  <w:style w:type="paragraph" w:customStyle="1" w:styleId="ParaClause">
    <w:name w:val="Para Clause"/>
    <w:basedOn w:val="Normal"/>
    <w:rsid w:val="00355605"/>
    <w:pPr>
      <w:spacing w:line="300" w:lineRule="atLeast"/>
      <w:ind w:left="720"/>
    </w:pPr>
    <w:rPr>
      <w:rFonts w:ascii="Arial" w:eastAsia="Arial Unicode MS" w:hAnsi="Arial" w:cs="Arial"/>
      <w:color w:val="000000"/>
      <w:sz w:val="22"/>
    </w:rPr>
  </w:style>
  <w:style w:type="paragraph" w:customStyle="1" w:styleId="Seconbulletlevel">
    <w:name w:val="Secon bullet level"/>
    <w:basedOn w:val="ListParagraph"/>
    <w:qFormat/>
    <w:rsid w:val="00FB466E"/>
    <w:pPr>
      <w:numPr>
        <w:numId w:val="5"/>
      </w:numPr>
      <w:tabs>
        <w:tab w:val="num" w:pos="360"/>
      </w:tabs>
      <w:ind w:left="720" w:firstLine="0"/>
    </w:pPr>
    <w:rPr>
      <w:rFonts w:eastAsiaTheme="minorHAnsi" w:cstheme="minorBidi"/>
      <w:szCs w:val="22"/>
      <w:lang w:val="en-US"/>
    </w:rPr>
  </w:style>
  <w:style w:type="character" w:styleId="PageNumber">
    <w:name w:val="page number"/>
    <w:basedOn w:val="DefaultParagraphFont"/>
    <w:uiPriority w:val="99"/>
    <w:semiHidden/>
    <w:unhideWhenUsed/>
    <w:rsid w:val="00764B23"/>
  </w:style>
  <w:style w:type="character" w:styleId="CommentReference">
    <w:name w:val="annotation reference"/>
    <w:basedOn w:val="DefaultParagraphFont"/>
    <w:uiPriority w:val="99"/>
    <w:semiHidden/>
    <w:unhideWhenUsed/>
    <w:rsid w:val="00764B23"/>
    <w:rPr>
      <w:sz w:val="16"/>
      <w:szCs w:val="16"/>
    </w:rPr>
  </w:style>
  <w:style w:type="paragraph" w:styleId="CommentText">
    <w:name w:val="annotation text"/>
    <w:basedOn w:val="Normal"/>
    <w:link w:val="CommentTextChar"/>
    <w:uiPriority w:val="99"/>
    <w:unhideWhenUsed/>
    <w:rsid w:val="00764B23"/>
    <w:pPr>
      <w:spacing w:line="240" w:lineRule="auto"/>
    </w:pPr>
    <w:rPr>
      <w:rFonts w:eastAsiaTheme="minorHAnsi"/>
      <w:lang w:val="en-US"/>
    </w:rPr>
  </w:style>
  <w:style w:type="character" w:customStyle="1" w:styleId="CommentTextChar">
    <w:name w:val="Comment Text Char"/>
    <w:basedOn w:val="DefaultParagraphFont"/>
    <w:link w:val="CommentText"/>
    <w:uiPriority w:val="99"/>
    <w:rsid w:val="00764B23"/>
    <w:rPr>
      <w:rFonts w:cs="Times New Roman"/>
      <w:szCs w:val="20"/>
    </w:rPr>
  </w:style>
  <w:style w:type="paragraph" w:styleId="Revision">
    <w:name w:val="Revision"/>
    <w:hidden/>
    <w:uiPriority w:val="99"/>
    <w:semiHidden/>
    <w:rsid w:val="00BA3E4A"/>
    <w:pPr>
      <w:spacing w:before="0" w:after="0" w:line="240" w:lineRule="auto"/>
      <w:jc w:val="left"/>
    </w:pPr>
    <w:rPr>
      <w:rFonts w:eastAsia="Times New Roman" w:cs="Times New Roman"/>
      <w:szCs w:val="20"/>
      <w:lang w:val="en-IN"/>
    </w:rPr>
  </w:style>
  <w:style w:type="paragraph" w:styleId="CommentSubject">
    <w:name w:val="annotation subject"/>
    <w:basedOn w:val="CommentText"/>
    <w:next w:val="CommentText"/>
    <w:link w:val="CommentSubjectChar"/>
    <w:uiPriority w:val="99"/>
    <w:semiHidden/>
    <w:unhideWhenUsed/>
    <w:rsid w:val="001C137A"/>
    <w:rPr>
      <w:rFonts w:eastAsia="Times New Roman"/>
      <w:b/>
      <w:bCs/>
      <w:lang w:val="en-IN"/>
    </w:rPr>
  </w:style>
  <w:style w:type="character" w:customStyle="1" w:styleId="CommentSubjectChar">
    <w:name w:val="Comment Subject Char"/>
    <w:basedOn w:val="CommentTextChar"/>
    <w:link w:val="CommentSubject"/>
    <w:uiPriority w:val="99"/>
    <w:semiHidden/>
    <w:rsid w:val="001C137A"/>
    <w:rPr>
      <w:rFonts w:eastAsia="Times New Roman" w:cs="Times New Roman"/>
      <w:b/>
      <w:bCs/>
      <w:szCs w:val="20"/>
      <w:lang w:val="en-IN"/>
    </w:rPr>
  </w:style>
  <w:style w:type="paragraph" w:customStyle="1" w:styleId="Paragraph">
    <w:name w:val="Paragraph"/>
    <w:basedOn w:val="Normal"/>
    <w:link w:val="ParagraphChar"/>
    <w:qFormat/>
    <w:rsid w:val="00E41AEE"/>
    <w:pPr>
      <w:spacing w:before="0" w:line="300" w:lineRule="atLeast"/>
    </w:pPr>
    <w:rPr>
      <w:rFonts w:ascii="Arial" w:eastAsia="Arial Unicode MS" w:hAnsi="Arial" w:cs="Arial"/>
      <w:color w:val="000000"/>
      <w:sz w:val="22"/>
    </w:rPr>
  </w:style>
  <w:style w:type="character" w:customStyle="1" w:styleId="ParagraphChar">
    <w:name w:val="Paragraph Char"/>
    <w:basedOn w:val="DefaultParagraphFont"/>
    <w:link w:val="Paragraph"/>
    <w:rsid w:val="00E41AEE"/>
    <w:rPr>
      <w:rFonts w:ascii="Arial" w:eastAsia="Arial Unicode MS" w:hAnsi="Arial" w:cs="Arial"/>
      <w:color w:val="000000"/>
      <w:sz w:val="22"/>
      <w:szCs w:val="20"/>
      <w:lang w:val="en-IN"/>
    </w:rPr>
  </w:style>
  <w:style w:type="paragraph" w:customStyle="1" w:styleId="Non-AgrLvl1">
    <w:name w:val="Non-Agr Lvl 1"/>
    <w:basedOn w:val="Heading1"/>
    <w:autoRedefine/>
    <w:qFormat/>
    <w:rsid w:val="00CD332B"/>
    <w:pPr>
      <w:numPr>
        <w:numId w:val="7"/>
      </w:numPr>
      <w:spacing w:before="240" w:line="276" w:lineRule="auto"/>
    </w:pPr>
    <w:rPr>
      <w:rFonts w:asciiTheme="minorHAnsi" w:eastAsiaTheme="majorEastAsia" w:hAnsiTheme="minorHAnsi" w:cstheme="majorBidi"/>
      <w:b w:val="0"/>
      <w:caps w:val="0"/>
      <w:color w:val="000000" w:themeColor="text1"/>
      <w:sz w:val="22"/>
      <w:szCs w:val="28"/>
    </w:rPr>
  </w:style>
  <w:style w:type="paragraph" w:customStyle="1" w:styleId="Non-AgrLvl2">
    <w:name w:val="Non-Agr Lvl 2"/>
    <w:basedOn w:val="Heading2"/>
    <w:autoRedefine/>
    <w:qFormat/>
    <w:rsid w:val="00CD332B"/>
    <w:pPr>
      <w:keepNext w:val="0"/>
      <w:keepLines w:val="0"/>
      <w:numPr>
        <w:ilvl w:val="1"/>
        <w:numId w:val="7"/>
      </w:numPr>
      <w:spacing w:before="240" w:after="120" w:line="240" w:lineRule="auto"/>
    </w:pPr>
    <w:rPr>
      <w:rFonts w:asciiTheme="minorHAnsi" w:eastAsia="Calibri" w:hAnsiTheme="minorHAnsi" w:cstheme="majorBidi"/>
      <w:bCs/>
      <w:smallCaps w:val="0"/>
      <w:sz w:val="22"/>
      <w:szCs w:val="26"/>
    </w:rPr>
  </w:style>
  <w:style w:type="paragraph" w:customStyle="1" w:styleId="Non-AgrLvl3">
    <w:name w:val="Non-Agr Lvl 3"/>
    <w:basedOn w:val="Heading3"/>
    <w:autoRedefine/>
    <w:qFormat/>
    <w:rsid w:val="00CD332B"/>
    <w:pPr>
      <w:keepNext w:val="0"/>
      <w:keepLines w:val="0"/>
      <w:widowControl w:val="0"/>
      <w:numPr>
        <w:ilvl w:val="2"/>
        <w:numId w:val="7"/>
      </w:numPr>
      <w:tabs>
        <w:tab w:val="left" w:pos="2160"/>
      </w:tabs>
      <w:spacing w:before="240" w:after="120" w:line="240" w:lineRule="auto"/>
      <w:ind w:left="3060" w:hanging="360"/>
    </w:pPr>
    <w:rPr>
      <w:rFonts w:asciiTheme="minorHAnsi" w:hAnsiTheme="minorHAnsi"/>
      <w:bCs/>
      <w:color w:val="auto"/>
      <w:sz w:val="22"/>
      <w:szCs w:val="22"/>
    </w:rPr>
  </w:style>
  <w:style w:type="paragraph" w:customStyle="1" w:styleId="Non-AgrLvl4">
    <w:name w:val="Non-Agr Lvl 4"/>
    <w:basedOn w:val="Heading4"/>
    <w:autoRedefine/>
    <w:qFormat/>
    <w:rsid w:val="00CD332B"/>
    <w:pPr>
      <w:numPr>
        <w:ilvl w:val="3"/>
        <w:numId w:val="7"/>
      </w:numPr>
      <w:spacing w:before="240" w:after="120" w:line="240" w:lineRule="auto"/>
      <w:ind w:left="3600" w:hanging="360"/>
    </w:pPr>
    <w:rPr>
      <w:rFonts w:ascii="Calibri" w:hAnsi="Calibri"/>
      <w:bCs/>
      <w:i w:val="0"/>
      <w:color w:val="auto"/>
      <w:sz w:val="22"/>
      <w:szCs w:val="22"/>
    </w:rPr>
  </w:style>
  <w:style w:type="paragraph" w:customStyle="1" w:styleId="Non-AgrLvl5">
    <w:name w:val="Non-Agr Lvl 5"/>
    <w:basedOn w:val="Heading5"/>
    <w:autoRedefine/>
    <w:qFormat/>
    <w:rsid w:val="00CD332B"/>
    <w:pPr>
      <w:numPr>
        <w:ilvl w:val="4"/>
        <w:numId w:val="7"/>
      </w:numPr>
      <w:spacing w:before="240" w:after="120" w:line="240" w:lineRule="auto"/>
      <w:ind w:left="4320" w:hanging="360"/>
    </w:pPr>
    <w:rPr>
      <w:rFonts w:asciiTheme="minorHAnsi" w:hAnsiTheme="minorHAnsi"/>
      <w:color w:val="auto"/>
      <w:sz w:val="22"/>
      <w:szCs w:val="22"/>
    </w:rPr>
  </w:style>
  <w:style w:type="character" w:customStyle="1" w:styleId="Heading3Char">
    <w:name w:val="Heading 3 Char"/>
    <w:basedOn w:val="DefaultParagraphFont"/>
    <w:link w:val="Heading3"/>
    <w:uiPriority w:val="9"/>
    <w:rsid w:val="00CD332B"/>
    <w:rPr>
      <w:rFonts w:asciiTheme="majorHAnsi" w:eastAsiaTheme="majorEastAsia" w:hAnsiTheme="majorHAnsi" w:cstheme="majorBidi"/>
      <w:color w:val="1F3763" w:themeColor="accent1" w:themeShade="7F"/>
      <w:sz w:val="24"/>
      <w:szCs w:val="24"/>
      <w:lang w:val="en-IN"/>
    </w:rPr>
  </w:style>
  <w:style w:type="character" w:customStyle="1" w:styleId="Heading4Char">
    <w:name w:val="Heading 4 Char"/>
    <w:basedOn w:val="DefaultParagraphFont"/>
    <w:link w:val="Heading4"/>
    <w:uiPriority w:val="9"/>
    <w:semiHidden/>
    <w:rsid w:val="00CD332B"/>
    <w:rPr>
      <w:rFonts w:asciiTheme="majorHAnsi" w:eastAsiaTheme="majorEastAsia" w:hAnsiTheme="majorHAnsi" w:cstheme="majorBidi"/>
      <w:i/>
      <w:iCs/>
      <w:color w:val="2F5496" w:themeColor="accent1" w:themeShade="BF"/>
      <w:szCs w:val="20"/>
      <w:lang w:val="en-IN"/>
    </w:rPr>
  </w:style>
  <w:style w:type="character" w:customStyle="1" w:styleId="Heading5Char">
    <w:name w:val="Heading 5 Char"/>
    <w:basedOn w:val="DefaultParagraphFont"/>
    <w:link w:val="Heading5"/>
    <w:uiPriority w:val="9"/>
    <w:semiHidden/>
    <w:rsid w:val="00CD332B"/>
    <w:rPr>
      <w:rFonts w:asciiTheme="majorHAnsi" w:eastAsiaTheme="majorEastAsia" w:hAnsiTheme="majorHAnsi" w:cstheme="majorBidi"/>
      <w:color w:val="2F5496" w:themeColor="accent1" w:themeShade="BF"/>
      <w:szCs w:val="20"/>
      <w:lang w:val="en-IN"/>
    </w:rPr>
  </w:style>
  <w:style w:type="paragraph" w:styleId="NoSpacing">
    <w:name w:val="No Spacing"/>
    <w:basedOn w:val="ListParagraph"/>
    <w:uiPriority w:val="1"/>
    <w:qFormat/>
    <w:rsid w:val="00FE7B05"/>
    <w:pPr>
      <w:widowControl w:val="0"/>
      <w:numPr>
        <w:numId w:val="0"/>
      </w:numPr>
      <w:ind w:left="720" w:right="363"/>
    </w:pPr>
    <w:rPr>
      <w:i/>
      <w:iCs/>
    </w:rPr>
  </w:style>
  <w:style w:type="numbering" w:customStyle="1" w:styleId="Style1">
    <w:name w:val="Style1"/>
    <w:uiPriority w:val="99"/>
    <w:rsid w:val="00AB393E"/>
    <w:pPr>
      <w:numPr>
        <w:numId w:val="8"/>
      </w:numPr>
    </w:pPr>
  </w:style>
  <w:style w:type="paragraph" w:customStyle="1" w:styleId="BulletFirst">
    <w:name w:val="Bullet First"/>
    <w:basedOn w:val="ListParagraph"/>
    <w:qFormat/>
    <w:rsid w:val="00291FF4"/>
    <w:pPr>
      <w:numPr>
        <w:numId w:val="9"/>
      </w:numPr>
    </w:pPr>
    <w:rPr>
      <w:rFonts w:eastAsiaTheme="minorHAnsi" w:cstheme="minorBidi"/>
      <w:szCs w:val="22"/>
      <w:lang w:val="en-US"/>
    </w:rPr>
  </w:style>
  <w:style w:type="paragraph" w:styleId="Title">
    <w:name w:val="Title"/>
    <w:basedOn w:val="Normal"/>
    <w:next w:val="Normal"/>
    <w:link w:val="TitleChar"/>
    <w:uiPriority w:val="1"/>
    <w:qFormat/>
    <w:rsid w:val="00C21DE0"/>
    <w:pPr>
      <w:autoSpaceDE w:val="0"/>
      <w:autoSpaceDN w:val="0"/>
      <w:adjustRightInd w:val="0"/>
      <w:spacing w:before="0" w:after="0" w:line="240" w:lineRule="auto"/>
      <w:jc w:val="left"/>
    </w:pPr>
    <w:rPr>
      <w:rFonts w:eastAsiaTheme="minorHAnsi"/>
      <w:sz w:val="24"/>
      <w:szCs w:val="24"/>
    </w:rPr>
  </w:style>
  <w:style w:type="character" w:customStyle="1" w:styleId="TitleChar">
    <w:name w:val="Title Char"/>
    <w:basedOn w:val="DefaultParagraphFont"/>
    <w:link w:val="Title"/>
    <w:uiPriority w:val="1"/>
    <w:rsid w:val="00C21DE0"/>
    <w:rPr>
      <w:rFonts w:cs="Times New Roman"/>
      <w:sz w:val="24"/>
      <w:szCs w:val="24"/>
      <w:lang w:val="en-IN"/>
    </w:rPr>
  </w:style>
  <w:style w:type="paragraph" w:styleId="BalloonText">
    <w:name w:val="Balloon Text"/>
    <w:basedOn w:val="Normal"/>
    <w:link w:val="BalloonTextChar"/>
    <w:uiPriority w:val="99"/>
    <w:semiHidden/>
    <w:unhideWhenUsed/>
    <w:rsid w:val="00286DE1"/>
    <w:pPr>
      <w:spacing w:before="0" w:after="0" w:line="240" w:lineRule="auto"/>
    </w:pPr>
    <w:rPr>
      <w:sz w:val="18"/>
      <w:szCs w:val="18"/>
    </w:rPr>
  </w:style>
  <w:style w:type="character" w:customStyle="1" w:styleId="BalloonTextChar">
    <w:name w:val="Balloon Text Char"/>
    <w:basedOn w:val="DefaultParagraphFont"/>
    <w:link w:val="BalloonText"/>
    <w:uiPriority w:val="99"/>
    <w:semiHidden/>
    <w:rsid w:val="00286DE1"/>
    <w:rPr>
      <w:rFonts w:eastAsia="Times New Roman" w:cs="Times New Roman"/>
      <w:sz w:val="18"/>
      <w:szCs w:val="18"/>
      <w:lang w:val="en-IN"/>
    </w:rPr>
  </w:style>
  <w:style w:type="character" w:styleId="Strong">
    <w:name w:val="Strong"/>
    <w:basedOn w:val="DefaultParagraphFont"/>
    <w:uiPriority w:val="22"/>
    <w:qFormat/>
    <w:rsid w:val="00351105"/>
    <w:rPr>
      <w:b/>
      <w:bCs/>
    </w:rPr>
  </w:style>
  <w:style w:type="table" w:styleId="TableGrid">
    <w:name w:val="Table Grid"/>
    <w:basedOn w:val="TableNormal"/>
    <w:uiPriority w:val="39"/>
    <w:rsid w:val="0065690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13583"/>
    <w:pPr>
      <w:autoSpaceDE w:val="0"/>
      <w:autoSpaceDN w:val="0"/>
      <w:adjustRightInd w:val="0"/>
      <w:spacing w:before="0" w:after="0" w:line="240" w:lineRule="auto"/>
      <w:jc w:val="left"/>
    </w:pPr>
    <w:rPr>
      <w:rFonts w:ascii="Helvetica" w:hAnsi="Helvetica" w:cs="Helvetica"/>
      <w:color w:val="000000"/>
      <w:sz w:val="24"/>
      <w:szCs w:val="24"/>
      <w:lang w:val="en-IN"/>
    </w:rPr>
  </w:style>
  <w:style w:type="paragraph" w:styleId="NormalWeb">
    <w:name w:val="Normal (Web)"/>
    <w:basedOn w:val="Normal"/>
    <w:uiPriority w:val="99"/>
    <w:semiHidden/>
    <w:unhideWhenUsed/>
    <w:rsid w:val="00861394"/>
    <w:pPr>
      <w:spacing w:before="100" w:beforeAutospacing="1" w:after="100" w:afterAutospacing="1" w:line="240" w:lineRule="auto"/>
      <w:jc w:val="left"/>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310763">
      <w:bodyDiv w:val="1"/>
      <w:marLeft w:val="0"/>
      <w:marRight w:val="0"/>
      <w:marTop w:val="0"/>
      <w:marBottom w:val="0"/>
      <w:divBdr>
        <w:top w:val="none" w:sz="0" w:space="0" w:color="auto"/>
        <w:left w:val="none" w:sz="0" w:space="0" w:color="auto"/>
        <w:bottom w:val="none" w:sz="0" w:space="0" w:color="auto"/>
        <w:right w:val="none" w:sz="0" w:space="0" w:color="auto"/>
      </w:divBdr>
    </w:div>
    <w:div w:id="1058826003">
      <w:bodyDiv w:val="1"/>
      <w:marLeft w:val="0"/>
      <w:marRight w:val="0"/>
      <w:marTop w:val="0"/>
      <w:marBottom w:val="0"/>
      <w:divBdr>
        <w:top w:val="none" w:sz="0" w:space="0" w:color="auto"/>
        <w:left w:val="none" w:sz="0" w:space="0" w:color="auto"/>
        <w:bottom w:val="none" w:sz="0" w:space="0" w:color="auto"/>
        <w:right w:val="none" w:sz="0" w:space="0" w:color="auto"/>
      </w:divBdr>
    </w:div>
    <w:div w:id="1070926431">
      <w:bodyDiv w:val="1"/>
      <w:marLeft w:val="0"/>
      <w:marRight w:val="0"/>
      <w:marTop w:val="0"/>
      <w:marBottom w:val="0"/>
      <w:divBdr>
        <w:top w:val="none" w:sz="0" w:space="0" w:color="auto"/>
        <w:left w:val="none" w:sz="0" w:space="0" w:color="auto"/>
        <w:bottom w:val="none" w:sz="0" w:space="0" w:color="auto"/>
        <w:right w:val="none" w:sz="0" w:space="0" w:color="auto"/>
      </w:divBdr>
    </w:div>
    <w:div w:id="1093285696">
      <w:bodyDiv w:val="1"/>
      <w:marLeft w:val="0"/>
      <w:marRight w:val="0"/>
      <w:marTop w:val="0"/>
      <w:marBottom w:val="0"/>
      <w:divBdr>
        <w:top w:val="none" w:sz="0" w:space="0" w:color="auto"/>
        <w:left w:val="none" w:sz="0" w:space="0" w:color="auto"/>
        <w:bottom w:val="none" w:sz="0" w:space="0" w:color="auto"/>
        <w:right w:val="none" w:sz="0" w:space="0" w:color="auto"/>
      </w:divBdr>
    </w:div>
    <w:div w:id="1108550108">
      <w:bodyDiv w:val="1"/>
      <w:marLeft w:val="0"/>
      <w:marRight w:val="0"/>
      <w:marTop w:val="0"/>
      <w:marBottom w:val="0"/>
      <w:divBdr>
        <w:top w:val="none" w:sz="0" w:space="0" w:color="auto"/>
        <w:left w:val="none" w:sz="0" w:space="0" w:color="auto"/>
        <w:bottom w:val="none" w:sz="0" w:space="0" w:color="auto"/>
        <w:right w:val="none" w:sz="0" w:space="0" w:color="auto"/>
      </w:divBdr>
    </w:div>
    <w:div w:id="1233006876">
      <w:bodyDiv w:val="1"/>
      <w:marLeft w:val="0"/>
      <w:marRight w:val="0"/>
      <w:marTop w:val="0"/>
      <w:marBottom w:val="0"/>
      <w:divBdr>
        <w:top w:val="none" w:sz="0" w:space="0" w:color="auto"/>
        <w:left w:val="none" w:sz="0" w:space="0" w:color="auto"/>
        <w:bottom w:val="none" w:sz="0" w:space="0" w:color="auto"/>
        <w:right w:val="none" w:sz="0" w:space="0" w:color="auto"/>
      </w:divBdr>
    </w:div>
    <w:div w:id="1306736639">
      <w:bodyDiv w:val="1"/>
      <w:marLeft w:val="0"/>
      <w:marRight w:val="0"/>
      <w:marTop w:val="0"/>
      <w:marBottom w:val="0"/>
      <w:divBdr>
        <w:top w:val="none" w:sz="0" w:space="0" w:color="auto"/>
        <w:left w:val="none" w:sz="0" w:space="0" w:color="auto"/>
        <w:bottom w:val="none" w:sz="0" w:space="0" w:color="auto"/>
        <w:right w:val="none" w:sz="0" w:space="0" w:color="auto"/>
      </w:divBdr>
    </w:div>
    <w:div w:id="1372654960">
      <w:bodyDiv w:val="1"/>
      <w:marLeft w:val="0"/>
      <w:marRight w:val="0"/>
      <w:marTop w:val="0"/>
      <w:marBottom w:val="0"/>
      <w:divBdr>
        <w:top w:val="none" w:sz="0" w:space="0" w:color="auto"/>
        <w:left w:val="none" w:sz="0" w:space="0" w:color="auto"/>
        <w:bottom w:val="none" w:sz="0" w:space="0" w:color="auto"/>
        <w:right w:val="none" w:sz="0" w:space="0" w:color="auto"/>
      </w:divBdr>
    </w:div>
    <w:div w:id="1457720432">
      <w:bodyDiv w:val="1"/>
      <w:marLeft w:val="0"/>
      <w:marRight w:val="0"/>
      <w:marTop w:val="0"/>
      <w:marBottom w:val="0"/>
      <w:divBdr>
        <w:top w:val="none" w:sz="0" w:space="0" w:color="auto"/>
        <w:left w:val="none" w:sz="0" w:space="0" w:color="auto"/>
        <w:bottom w:val="none" w:sz="0" w:space="0" w:color="auto"/>
        <w:right w:val="none" w:sz="0" w:space="0" w:color="auto"/>
      </w:divBdr>
    </w:div>
    <w:div w:id="1541865644">
      <w:bodyDiv w:val="1"/>
      <w:marLeft w:val="0"/>
      <w:marRight w:val="0"/>
      <w:marTop w:val="0"/>
      <w:marBottom w:val="0"/>
      <w:divBdr>
        <w:top w:val="none" w:sz="0" w:space="0" w:color="auto"/>
        <w:left w:val="none" w:sz="0" w:space="0" w:color="auto"/>
        <w:bottom w:val="none" w:sz="0" w:space="0" w:color="auto"/>
        <w:right w:val="none" w:sz="0" w:space="0" w:color="auto"/>
      </w:divBdr>
      <w:divsChild>
        <w:div w:id="419764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29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FE733-3429-C741-A749-645ECF3FF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3177</Words>
  <Characters>18111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Vakharia</dc:creator>
  <cp:keywords/>
  <dc:description/>
  <cp:lastModifiedBy>Priyanshi Vakharia</cp:lastModifiedBy>
  <cp:revision>9</cp:revision>
  <dcterms:created xsi:type="dcterms:W3CDTF">2026-01-26T08:45:00Z</dcterms:created>
  <dcterms:modified xsi:type="dcterms:W3CDTF">2026-01-26T09:42:00Z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edfc785e-b11f-4553-a201-26682c9d6f66</vt:lpwstr>
  </property>
</Properties>
</file>