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6F79" w14:textId="2CA61286" w:rsidR="00DD1E84" w:rsidRPr="00F00FAC" w:rsidRDefault="00137B2F" w:rsidP="00CC4B5E">
      <w:pPr>
        <w:widowControl w:val="0"/>
        <w:pBdr>
          <w:bottom w:val="single" w:sz="12" w:space="1" w:color="000000"/>
        </w:pBdr>
        <w:ind w:left="450" w:hanging="450"/>
        <w:rPr>
          <w:b/>
          <w:bCs/>
        </w:rPr>
      </w:pPr>
      <w:r w:rsidRPr="00F00FAC">
        <w:rPr>
          <w:b/>
          <w:bCs/>
        </w:rPr>
        <w:t>Responses to Questions</w:t>
      </w:r>
    </w:p>
    <w:p w14:paraId="6D795071" w14:textId="44952A3C" w:rsidR="00DD1E84" w:rsidRPr="00F00FAC" w:rsidRDefault="00DD1E84" w:rsidP="00CC4B5E">
      <w:pPr>
        <w:widowControl w:val="0"/>
        <w:ind w:left="360" w:hanging="360"/>
      </w:pPr>
      <w:r w:rsidRPr="00F00FAC">
        <w:rPr>
          <w:b/>
        </w:rPr>
        <w:t>To:</w:t>
      </w:r>
      <w:r w:rsidRPr="00F00FAC">
        <w:rPr>
          <w:b/>
        </w:rPr>
        <w:tab/>
      </w:r>
      <w:r w:rsidRPr="00F00FAC">
        <w:rPr>
          <w:b/>
        </w:rPr>
        <w:tab/>
      </w:r>
      <w:r w:rsidR="00CD0B25" w:rsidRPr="00F00FAC">
        <w:rPr>
          <w:rFonts w:eastAsia="Calibri"/>
          <w:bCs/>
        </w:rPr>
        <w:t>Gazprombank JSC</w:t>
      </w:r>
    </w:p>
    <w:p w14:paraId="620FF6EF" w14:textId="77777777" w:rsidR="00DD1E84" w:rsidRPr="00F00FAC" w:rsidRDefault="00DD1E84" w:rsidP="00CC4B5E">
      <w:pPr>
        <w:widowControl w:val="0"/>
        <w:ind w:left="360" w:hanging="360"/>
      </w:pPr>
      <w:r w:rsidRPr="00F00FAC">
        <w:rPr>
          <w:b/>
        </w:rPr>
        <w:t>From:</w:t>
      </w:r>
      <w:r w:rsidRPr="00F00FAC">
        <w:t xml:space="preserve"> </w:t>
      </w:r>
      <w:r w:rsidRPr="00F00FAC">
        <w:tab/>
        <w:t>Singularity Legal</w:t>
      </w:r>
    </w:p>
    <w:p w14:paraId="198120A5" w14:textId="6B45E40D" w:rsidR="00DD1E84" w:rsidRPr="00F00FAC" w:rsidRDefault="00DD1E84" w:rsidP="00CC4B5E">
      <w:pPr>
        <w:widowControl w:val="0"/>
        <w:ind w:left="709" w:hanging="709"/>
      </w:pPr>
      <w:r w:rsidRPr="00F00FAC">
        <w:rPr>
          <w:b/>
        </w:rPr>
        <w:t>Subject:</w:t>
      </w:r>
      <w:r w:rsidRPr="00F00FAC">
        <w:t xml:space="preserve"> </w:t>
      </w:r>
      <w:r w:rsidR="00494DD7" w:rsidRPr="00F00FAC">
        <w:t xml:space="preserve">Responses to Questions </w:t>
      </w:r>
      <w:r w:rsidR="00D10D92" w:rsidRPr="00F00FAC">
        <w:t xml:space="preserve">in </w:t>
      </w:r>
      <w:r w:rsidR="004809AE" w:rsidRPr="00F00FAC">
        <w:t>T</w:t>
      </w:r>
      <w:r w:rsidR="00D10D92" w:rsidRPr="00F00FAC">
        <w:t xml:space="preserve">erms of </w:t>
      </w:r>
      <w:r w:rsidR="004809AE" w:rsidRPr="00F00FAC">
        <w:t>R</w:t>
      </w:r>
      <w:r w:rsidR="00D10D92" w:rsidRPr="00F00FAC">
        <w:t xml:space="preserve">eference dated </w:t>
      </w:r>
      <w:r w:rsidR="006E1284" w:rsidRPr="00F00FAC">
        <w:t>6 February 2026</w:t>
      </w:r>
    </w:p>
    <w:p w14:paraId="09CE0A0D" w14:textId="6C14EC30" w:rsidR="00DD1E84" w:rsidRPr="00F00FAC" w:rsidRDefault="00DD1E84" w:rsidP="00CC4B5E">
      <w:pPr>
        <w:widowControl w:val="0"/>
        <w:pBdr>
          <w:bottom w:val="single" w:sz="12" w:space="1" w:color="000000"/>
        </w:pBdr>
        <w:ind w:left="360" w:hanging="360"/>
        <w:rPr>
          <w:b/>
        </w:rPr>
      </w:pPr>
      <w:r w:rsidRPr="00F00FAC">
        <w:rPr>
          <w:b/>
        </w:rPr>
        <w:t>Date:</w:t>
      </w:r>
      <w:r w:rsidRPr="00F00FAC">
        <w:t xml:space="preserve"> </w:t>
      </w:r>
      <w:r w:rsidRPr="00F00FAC">
        <w:tab/>
      </w:r>
      <w:r w:rsidR="007755EE">
        <w:t>6</w:t>
      </w:r>
      <w:r w:rsidR="006E1284" w:rsidRPr="00F00FAC">
        <w:t xml:space="preserve"> </w:t>
      </w:r>
      <w:r w:rsidR="00D7086D">
        <w:t>July</w:t>
      </w:r>
      <w:r w:rsidR="00D7086D" w:rsidRPr="00F00FAC">
        <w:t xml:space="preserve"> </w:t>
      </w:r>
      <w:r w:rsidR="004809AE" w:rsidRPr="00F00FAC">
        <w:t>2026</w:t>
      </w:r>
    </w:p>
    <w:p w14:paraId="65C0D35C" w14:textId="697DA464" w:rsidR="00445054" w:rsidRPr="00F00FAC" w:rsidRDefault="00445054" w:rsidP="00CC4B5E">
      <w:pPr>
        <w:jc w:val="center"/>
      </w:pPr>
      <w:bookmarkStart w:id="0" w:name="_Toc203997431"/>
      <w:r w:rsidRPr="00F00FAC">
        <w:rPr>
          <w:i/>
        </w:rPr>
        <w:t>This memorandum is provided for discussion and does not constitute a final legal opinion.</w:t>
      </w:r>
    </w:p>
    <w:bookmarkStart w:id="1" w:name="_Toc216351754" w:displacedByCustomXml="next"/>
    <w:bookmarkStart w:id="2" w:name="_Toc208244070" w:displacedByCustomXml="next"/>
    <w:sdt>
      <w:sdtPr>
        <w:rPr>
          <w:lang w:val="en-GB"/>
        </w:rPr>
        <w:id w:val="-544373377"/>
        <w:docPartObj>
          <w:docPartGallery w:val="Table of Contents"/>
          <w:docPartUnique/>
        </w:docPartObj>
      </w:sdtPr>
      <w:sdtContent>
        <w:p w14:paraId="54C198C3" w14:textId="0F61FE75" w:rsidR="00532932" w:rsidRPr="00F00FAC" w:rsidRDefault="00A127A0" w:rsidP="00EF45A4">
          <w:pPr>
            <w:pStyle w:val="TOC1"/>
            <w:spacing w:after="120"/>
            <w:ind w:left="0" w:firstLine="0"/>
            <w:jc w:val="center"/>
            <w:rPr>
              <w:lang w:val="en-GB"/>
            </w:rPr>
          </w:pPr>
          <w:r w:rsidRPr="00F00FAC">
            <w:rPr>
              <w:lang w:val="en-GB"/>
            </w:rPr>
            <w:t>TABLE OF CONTENTS</w:t>
          </w:r>
          <w:bookmarkEnd w:id="2"/>
          <w:bookmarkEnd w:id="1"/>
        </w:p>
        <w:p w14:paraId="610A8B14" w14:textId="6E3CC0E7" w:rsidR="008F14A6" w:rsidRPr="00F00FAC" w:rsidRDefault="006D798B">
          <w:pPr>
            <w:pStyle w:val="TOC1"/>
            <w:rPr>
              <w:rFonts w:eastAsiaTheme="minorEastAsia"/>
              <w:b w:val="0"/>
              <w:kern w:val="2"/>
              <w:sz w:val="24"/>
              <w:szCs w:val="24"/>
              <w:lang w:val="en-IN" w:eastAsia="en-IN"/>
              <w14:ligatures w14:val="standardContextual"/>
            </w:rPr>
          </w:pPr>
          <w:r w:rsidRPr="00F00FAC">
            <w:rPr>
              <w:lang w:val="en-GB"/>
            </w:rPr>
            <w:fldChar w:fldCharType="begin"/>
          </w:r>
          <w:r w:rsidRPr="00F00FAC">
            <w:rPr>
              <w:lang w:val="en-GB"/>
            </w:rPr>
            <w:instrText xml:space="preserve"> TOC \o "1-1" \h \z \u </w:instrText>
          </w:r>
          <w:r w:rsidRPr="00F00FAC">
            <w:rPr>
              <w:lang w:val="en-GB"/>
            </w:rPr>
            <w:fldChar w:fldCharType="separate"/>
          </w:r>
          <w:hyperlink w:anchor="_Toc231484579" w:history="1">
            <w:r w:rsidR="008F14A6" w:rsidRPr="00F00FAC">
              <w:rPr>
                <w:rStyle w:val="Hyperlink"/>
                <w:iCs/>
              </w:rPr>
              <w:t>I.</w:t>
            </w:r>
            <w:r w:rsidR="008F14A6" w:rsidRPr="00F00FAC">
              <w:rPr>
                <w:rFonts w:eastAsiaTheme="minorEastAsia"/>
                <w:b w:val="0"/>
                <w:kern w:val="2"/>
                <w:sz w:val="24"/>
                <w:szCs w:val="24"/>
                <w:lang w:val="en-IN" w:eastAsia="en-IN"/>
                <w14:ligatures w14:val="standardContextual"/>
              </w:rPr>
              <w:tab/>
            </w:r>
            <w:r w:rsidR="008F14A6" w:rsidRPr="00F00FAC">
              <w:rPr>
                <w:rStyle w:val="Hyperlink"/>
              </w:rPr>
              <w:t>INTRODUCTION</w:t>
            </w:r>
            <w:r w:rsidR="008F14A6" w:rsidRPr="00F00FAC">
              <w:rPr>
                <w:webHidden/>
              </w:rPr>
              <w:tab/>
            </w:r>
            <w:r w:rsidR="008F14A6" w:rsidRPr="00F00FAC">
              <w:rPr>
                <w:webHidden/>
              </w:rPr>
              <w:fldChar w:fldCharType="begin"/>
            </w:r>
            <w:r w:rsidR="008F14A6" w:rsidRPr="00F00FAC">
              <w:rPr>
                <w:webHidden/>
              </w:rPr>
              <w:instrText xml:space="preserve"> PAGEREF _Toc231484579 \h </w:instrText>
            </w:r>
            <w:r w:rsidR="008F14A6" w:rsidRPr="00F00FAC">
              <w:rPr>
                <w:webHidden/>
              </w:rPr>
            </w:r>
            <w:r w:rsidR="008F14A6" w:rsidRPr="00F00FAC">
              <w:rPr>
                <w:webHidden/>
              </w:rPr>
              <w:fldChar w:fldCharType="separate"/>
            </w:r>
            <w:r w:rsidR="00355540">
              <w:rPr>
                <w:webHidden/>
              </w:rPr>
              <w:t>1</w:t>
            </w:r>
            <w:r w:rsidR="008F14A6" w:rsidRPr="00F00FAC">
              <w:rPr>
                <w:webHidden/>
              </w:rPr>
              <w:fldChar w:fldCharType="end"/>
            </w:r>
          </w:hyperlink>
        </w:p>
        <w:p w14:paraId="6C866EA8" w14:textId="30146D53" w:rsidR="008F14A6" w:rsidRPr="00F00FAC" w:rsidRDefault="008F14A6">
          <w:pPr>
            <w:pStyle w:val="TOC1"/>
            <w:rPr>
              <w:rFonts w:eastAsiaTheme="minorEastAsia"/>
              <w:b w:val="0"/>
              <w:kern w:val="2"/>
              <w:sz w:val="24"/>
              <w:szCs w:val="24"/>
              <w:lang w:val="en-IN" w:eastAsia="en-IN"/>
              <w14:ligatures w14:val="standardContextual"/>
            </w:rPr>
          </w:pPr>
          <w:hyperlink w:anchor="_Toc231484580" w:history="1">
            <w:r w:rsidRPr="00F00FAC">
              <w:rPr>
                <w:rStyle w:val="Hyperlink"/>
                <w:iCs/>
              </w:rPr>
              <w:t>II.</w:t>
            </w:r>
            <w:r w:rsidRPr="00F00FAC">
              <w:rPr>
                <w:rFonts w:eastAsiaTheme="minorEastAsia"/>
                <w:b w:val="0"/>
                <w:kern w:val="2"/>
                <w:sz w:val="24"/>
                <w:szCs w:val="24"/>
                <w:lang w:val="en-IN" w:eastAsia="en-IN"/>
                <w14:ligatures w14:val="standardContextual"/>
              </w:rPr>
              <w:tab/>
            </w:r>
            <w:r w:rsidRPr="00F00FAC">
              <w:rPr>
                <w:rStyle w:val="Hyperlink"/>
              </w:rPr>
              <w:t>EXECUTIVE SUMMARY</w:t>
            </w:r>
            <w:r w:rsidRPr="00F00FAC">
              <w:rPr>
                <w:webHidden/>
              </w:rPr>
              <w:tab/>
            </w:r>
            <w:r w:rsidRPr="00F00FAC">
              <w:rPr>
                <w:webHidden/>
              </w:rPr>
              <w:fldChar w:fldCharType="begin"/>
            </w:r>
            <w:r w:rsidRPr="00F00FAC">
              <w:rPr>
                <w:webHidden/>
              </w:rPr>
              <w:instrText xml:space="preserve"> PAGEREF _Toc231484580 \h </w:instrText>
            </w:r>
            <w:r w:rsidRPr="00F00FAC">
              <w:rPr>
                <w:webHidden/>
              </w:rPr>
            </w:r>
            <w:r w:rsidRPr="00F00FAC">
              <w:rPr>
                <w:webHidden/>
              </w:rPr>
              <w:fldChar w:fldCharType="separate"/>
            </w:r>
            <w:r w:rsidR="00355540">
              <w:rPr>
                <w:webHidden/>
              </w:rPr>
              <w:t>3</w:t>
            </w:r>
            <w:r w:rsidRPr="00F00FAC">
              <w:rPr>
                <w:webHidden/>
              </w:rPr>
              <w:fldChar w:fldCharType="end"/>
            </w:r>
          </w:hyperlink>
        </w:p>
        <w:p w14:paraId="7C500E8D" w14:textId="5865425B" w:rsidR="008F14A6" w:rsidRPr="00F00FAC" w:rsidRDefault="008F14A6">
          <w:pPr>
            <w:pStyle w:val="TOC1"/>
            <w:tabs>
              <w:tab w:val="left" w:pos="990"/>
            </w:tabs>
            <w:rPr>
              <w:rFonts w:eastAsiaTheme="minorEastAsia"/>
              <w:b w:val="0"/>
              <w:kern w:val="2"/>
              <w:sz w:val="24"/>
              <w:szCs w:val="24"/>
              <w:lang w:val="en-IN" w:eastAsia="en-IN"/>
              <w14:ligatures w14:val="standardContextual"/>
            </w:rPr>
          </w:pPr>
          <w:hyperlink w:anchor="_Toc231484581" w:history="1">
            <w:r w:rsidRPr="00F00FAC">
              <w:rPr>
                <w:rStyle w:val="Hyperlink"/>
                <w:iCs/>
              </w:rPr>
              <w:t>III.</w:t>
            </w:r>
            <w:r w:rsidRPr="00F00FAC">
              <w:rPr>
                <w:rFonts w:eastAsiaTheme="minorEastAsia"/>
                <w:b w:val="0"/>
                <w:kern w:val="2"/>
                <w:sz w:val="24"/>
                <w:szCs w:val="24"/>
                <w:lang w:val="en-IN" w:eastAsia="en-IN"/>
                <w14:ligatures w14:val="standardContextual"/>
              </w:rPr>
              <w:t xml:space="preserve"> </w:t>
            </w:r>
            <w:r w:rsidRPr="00F00FAC">
              <w:rPr>
                <w:rStyle w:val="Hyperlink"/>
              </w:rPr>
              <w:t>QUESTION 1: RECOGNITION AND ENFORCEMENT OF RUSSIAN COURT DECISIONS</w:t>
            </w:r>
            <w:r w:rsidRPr="00F00FAC">
              <w:rPr>
                <w:webHidden/>
              </w:rPr>
              <w:tab/>
            </w:r>
            <w:r w:rsidRPr="00F00FAC">
              <w:rPr>
                <w:webHidden/>
              </w:rPr>
              <w:fldChar w:fldCharType="begin"/>
            </w:r>
            <w:r w:rsidRPr="00F00FAC">
              <w:rPr>
                <w:webHidden/>
              </w:rPr>
              <w:instrText xml:space="preserve"> PAGEREF _Toc231484581 \h </w:instrText>
            </w:r>
            <w:r w:rsidRPr="00F00FAC">
              <w:rPr>
                <w:webHidden/>
              </w:rPr>
            </w:r>
            <w:r w:rsidRPr="00F00FAC">
              <w:rPr>
                <w:webHidden/>
              </w:rPr>
              <w:fldChar w:fldCharType="separate"/>
            </w:r>
            <w:r w:rsidR="00355540">
              <w:rPr>
                <w:webHidden/>
              </w:rPr>
              <w:t>3</w:t>
            </w:r>
            <w:r w:rsidRPr="00F00FAC">
              <w:rPr>
                <w:webHidden/>
              </w:rPr>
              <w:fldChar w:fldCharType="end"/>
            </w:r>
          </w:hyperlink>
        </w:p>
        <w:p w14:paraId="264B2A3D" w14:textId="48D30E57" w:rsidR="008F14A6" w:rsidRPr="00F00FAC" w:rsidRDefault="008F14A6">
          <w:pPr>
            <w:pStyle w:val="TOC1"/>
            <w:tabs>
              <w:tab w:val="left" w:pos="990"/>
            </w:tabs>
            <w:rPr>
              <w:rFonts w:eastAsiaTheme="minorEastAsia"/>
              <w:b w:val="0"/>
              <w:kern w:val="2"/>
              <w:sz w:val="24"/>
              <w:szCs w:val="24"/>
              <w:lang w:val="en-IN" w:eastAsia="en-IN"/>
              <w14:ligatures w14:val="standardContextual"/>
            </w:rPr>
          </w:pPr>
          <w:hyperlink w:anchor="_Toc231484582" w:history="1">
            <w:r w:rsidRPr="00F00FAC">
              <w:rPr>
                <w:rStyle w:val="Hyperlink"/>
                <w:iCs/>
              </w:rPr>
              <w:t>IV.</w:t>
            </w:r>
            <w:r w:rsidRPr="00F00FAC">
              <w:rPr>
                <w:rFonts w:eastAsiaTheme="minorEastAsia"/>
                <w:b w:val="0"/>
                <w:kern w:val="2"/>
                <w:sz w:val="24"/>
                <w:szCs w:val="24"/>
                <w:lang w:val="en-IN" w:eastAsia="en-IN"/>
                <w14:ligatures w14:val="standardContextual"/>
              </w:rPr>
              <w:t xml:space="preserve"> </w:t>
            </w:r>
            <w:r w:rsidRPr="00F00FAC">
              <w:rPr>
                <w:rStyle w:val="Hyperlink"/>
              </w:rPr>
              <w:t>QUESTION 2: ASSET IDENTIFICATION AND EXECUTION</w:t>
            </w:r>
            <w:r w:rsidRPr="00F00FAC">
              <w:rPr>
                <w:webHidden/>
              </w:rPr>
              <w:tab/>
            </w:r>
            <w:r w:rsidRPr="00F00FAC">
              <w:rPr>
                <w:webHidden/>
              </w:rPr>
              <w:fldChar w:fldCharType="begin"/>
            </w:r>
            <w:r w:rsidRPr="00F00FAC">
              <w:rPr>
                <w:webHidden/>
              </w:rPr>
              <w:instrText xml:space="preserve"> PAGEREF _Toc231484582 \h </w:instrText>
            </w:r>
            <w:r w:rsidRPr="00F00FAC">
              <w:rPr>
                <w:webHidden/>
              </w:rPr>
            </w:r>
            <w:r w:rsidRPr="00F00FAC">
              <w:rPr>
                <w:webHidden/>
              </w:rPr>
              <w:fldChar w:fldCharType="separate"/>
            </w:r>
            <w:r w:rsidR="00355540">
              <w:rPr>
                <w:webHidden/>
              </w:rPr>
              <w:t>7</w:t>
            </w:r>
            <w:r w:rsidRPr="00F00FAC">
              <w:rPr>
                <w:webHidden/>
              </w:rPr>
              <w:fldChar w:fldCharType="end"/>
            </w:r>
          </w:hyperlink>
        </w:p>
        <w:p w14:paraId="2CA0391B" w14:textId="3BAB02F1" w:rsidR="008F14A6" w:rsidRPr="00F00FAC" w:rsidRDefault="008F14A6">
          <w:pPr>
            <w:pStyle w:val="TOC1"/>
            <w:rPr>
              <w:rFonts w:eastAsiaTheme="minorEastAsia"/>
              <w:b w:val="0"/>
              <w:kern w:val="2"/>
              <w:sz w:val="24"/>
              <w:szCs w:val="24"/>
              <w:lang w:val="en-IN" w:eastAsia="en-IN"/>
              <w14:ligatures w14:val="standardContextual"/>
            </w:rPr>
          </w:pPr>
          <w:hyperlink w:anchor="_Toc231484583" w:history="1">
            <w:r w:rsidRPr="00F00FAC">
              <w:rPr>
                <w:rStyle w:val="Hyperlink"/>
                <w:iCs/>
              </w:rPr>
              <w:t>V.</w:t>
            </w:r>
            <w:r w:rsidRPr="00F00FAC">
              <w:rPr>
                <w:rFonts w:eastAsiaTheme="minorEastAsia"/>
                <w:b w:val="0"/>
                <w:kern w:val="2"/>
                <w:sz w:val="24"/>
                <w:szCs w:val="24"/>
                <w:lang w:val="en-IN" w:eastAsia="en-IN"/>
                <w14:ligatures w14:val="standardContextual"/>
              </w:rPr>
              <w:t xml:space="preserve"> </w:t>
            </w:r>
            <w:r w:rsidRPr="00F00FAC">
              <w:rPr>
                <w:rStyle w:val="Hyperlink"/>
              </w:rPr>
              <w:t>QUESTION 3: INDEPENDENT JUDICIAL RECOVERY PROCEEDINGS IN INDIA</w:t>
            </w:r>
            <w:r w:rsidRPr="00F00FAC">
              <w:rPr>
                <w:webHidden/>
              </w:rPr>
              <w:tab/>
            </w:r>
            <w:r w:rsidRPr="00F00FAC">
              <w:rPr>
                <w:webHidden/>
              </w:rPr>
              <w:fldChar w:fldCharType="begin"/>
            </w:r>
            <w:r w:rsidRPr="00F00FAC">
              <w:rPr>
                <w:webHidden/>
              </w:rPr>
              <w:instrText xml:space="preserve"> PAGEREF _Toc231484583 \h </w:instrText>
            </w:r>
            <w:r w:rsidRPr="00F00FAC">
              <w:rPr>
                <w:webHidden/>
              </w:rPr>
            </w:r>
            <w:r w:rsidRPr="00F00FAC">
              <w:rPr>
                <w:webHidden/>
              </w:rPr>
              <w:fldChar w:fldCharType="separate"/>
            </w:r>
            <w:r w:rsidR="00355540">
              <w:rPr>
                <w:webHidden/>
              </w:rPr>
              <w:t>8</w:t>
            </w:r>
            <w:r w:rsidRPr="00F00FAC">
              <w:rPr>
                <w:webHidden/>
              </w:rPr>
              <w:fldChar w:fldCharType="end"/>
            </w:r>
          </w:hyperlink>
        </w:p>
        <w:p w14:paraId="19BB9D93" w14:textId="56799014" w:rsidR="008F14A6" w:rsidRPr="00F00FAC" w:rsidRDefault="008F14A6">
          <w:pPr>
            <w:pStyle w:val="TOC1"/>
            <w:tabs>
              <w:tab w:val="left" w:pos="990"/>
            </w:tabs>
            <w:rPr>
              <w:rFonts w:eastAsiaTheme="minorEastAsia"/>
              <w:b w:val="0"/>
              <w:kern w:val="2"/>
              <w:sz w:val="24"/>
              <w:szCs w:val="24"/>
              <w:lang w:val="en-IN" w:eastAsia="en-IN"/>
              <w14:ligatures w14:val="standardContextual"/>
            </w:rPr>
          </w:pPr>
          <w:hyperlink w:anchor="_Toc231484584" w:history="1">
            <w:r w:rsidRPr="00F00FAC">
              <w:rPr>
                <w:rStyle w:val="Hyperlink"/>
                <w:iCs/>
              </w:rPr>
              <w:t>VI.</w:t>
            </w:r>
            <w:r w:rsidRPr="00F00FAC">
              <w:rPr>
                <w:rFonts w:eastAsiaTheme="minorEastAsia"/>
                <w:b w:val="0"/>
                <w:kern w:val="2"/>
                <w:sz w:val="24"/>
                <w:szCs w:val="24"/>
                <w:lang w:val="en-IN" w:eastAsia="en-IN"/>
                <w14:ligatures w14:val="standardContextual"/>
              </w:rPr>
              <w:t xml:space="preserve"> </w:t>
            </w:r>
            <w:r w:rsidRPr="00F00FAC">
              <w:rPr>
                <w:rStyle w:val="Hyperlink"/>
                <w:lang w:val="en-IN"/>
              </w:rPr>
              <w:t>QUESTION 4: COMPETING PROCEEDINGS AND COORDINATION RISKS</w:t>
            </w:r>
            <w:r w:rsidRPr="00F00FAC">
              <w:rPr>
                <w:webHidden/>
              </w:rPr>
              <w:tab/>
            </w:r>
            <w:r w:rsidRPr="00F00FAC">
              <w:rPr>
                <w:webHidden/>
              </w:rPr>
              <w:fldChar w:fldCharType="begin"/>
            </w:r>
            <w:r w:rsidRPr="00F00FAC">
              <w:rPr>
                <w:webHidden/>
              </w:rPr>
              <w:instrText xml:space="preserve"> PAGEREF _Toc231484584 \h </w:instrText>
            </w:r>
            <w:r w:rsidRPr="00F00FAC">
              <w:rPr>
                <w:webHidden/>
              </w:rPr>
            </w:r>
            <w:r w:rsidRPr="00F00FAC">
              <w:rPr>
                <w:webHidden/>
              </w:rPr>
              <w:fldChar w:fldCharType="separate"/>
            </w:r>
            <w:r w:rsidR="00355540">
              <w:rPr>
                <w:webHidden/>
              </w:rPr>
              <w:t>10</w:t>
            </w:r>
            <w:r w:rsidRPr="00F00FAC">
              <w:rPr>
                <w:webHidden/>
              </w:rPr>
              <w:fldChar w:fldCharType="end"/>
            </w:r>
          </w:hyperlink>
        </w:p>
        <w:p w14:paraId="4D98BEEF" w14:textId="61A7C180" w:rsidR="008F14A6" w:rsidRPr="00F00FAC" w:rsidRDefault="008F14A6">
          <w:pPr>
            <w:pStyle w:val="TOC1"/>
            <w:tabs>
              <w:tab w:val="left" w:pos="1200"/>
            </w:tabs>
            <w:rPr>
              <w:rFonts w:eastAsiaTheme="minorEastAsia"/>
              <w:b w:val="0"/>
              <w:kern w:val="2"/>
              <w:sz w:val="24"/>
              <w:szCs w:val="24"/>
              <w:lang w:val="en-IN" w:eastAsia="en-IN"/>
              <w14:ligatures w14:val="standardContextual"/>
            </w:rPr>
          </w:pPr>
          <w:hyperlink w:anchor="_Toc231484585" w:history="1">
            <w:r w:rsidRPr="00F00FAC">
              <w:rPr>
                <w:rStyle w:val="Hyperlink"/>
                <w:iCs/>
              </w:rPr>
              <w:t>VII.</w:t>
            </w:r>
            <w:r w:rsidRPr="00F00FAC">
              <w:rPr>
                <w:rFonts w:eastAsiaTheme="minorEastAsia"/>
                <w:b w:val="0"/>
                <w:kern w:val="2"/>
                <w:sz w:val="24"/>
                <w:szCs w:val="24"/>
                <w:lang w:val="en-IN" w:eastAsia="en-IN"/>
                <w14:ligatures w14:val="standardContextual"/>
              </w:rPr>
              <w:t xml:space="preserve"> </w:t>
            </w:r>
            <w:r w:rsidRPr="00F00FAC">
              <w:rPr>
                <w:rStyle w:val="Hyperlink"/>
              </w:rPr>
              <w:t>QUESTION 5: ESTIMATED COSTS AND FEES</w:t>
            </w:r>
            <w:r w:rsidRPr="00F00FAC">
              <w:rPr>
                <w:webHidden/>
              </w:rPr>
              <w:tab/>
            </w:r>
            <w:r w:rsidRPr="00F00FAC">
              <w:rPr>
                <w:webHidden/>
              </w:rPr>
              <w:fldChar w:fldCharType="begin"/>
            </w:r>
            <w:r w:rsidRPr="00F00FAC">
              <w:rPr>
                <w:webHidden/>
              </w:rPr>
              <w:instrText xml:space="preserve"> PAGEREF _Toc231484585 \h </w:instrText>
            </w:r>
            <w:r w:rsidRPr="00F00FAC">
              <w:rPr>
                <w:webHidden/>
              </w:rPr>
            </w:r>
            <w:r w:rsidRPr="00F00FAC">
              <w:rPr>
                <w:webHidden/>
              </w:rPr>
              <w:fldChar w:fldCharType="separate"/>
            </w:r>
            <w:r w:rsidR="00355540">
              <w:rPr>
                <w:webHidden/>
              </w:rPr>
              <w:t>10</w:t>
            </w:r>
            <w:r w:rsidRPr="00F00FAC">
              <w:rPr>
                <w:webHidden/>
              </w:rPr>
              <w:fldChar w:fldCharType="end"/>
            </w:r>
          </w:hyperlink>
        </w:p>
        <w:p w14:paraId="57B1FD1B" w14:textId="77E1A8F1" w:rsidR="00532932" w:rsidRPr="00F00FAC" w:rsidRDefault="006D798B" w:rsidP="00EF45A4">
          <w:pPr>
            <w:pStyle w:val="TOC1"/>
            <w:spacing w:after="120"/>
            <w:ind w:left="0" w:firstLine="0"/>
            <w:rPr>
              <w:lang w:val="en-GB"/>
            </w:rPr>
          </w:pPr>
          <w:r w:rsidRPr="00F00FAC">
            <w:rPr>
              <w:lang w:val="en-GB"/>
            </w:rPr>
            <w:fldChar w:fldCharType="end"/>
          </w:r>
        </w:p>
      </w:sdtContent>
    </w:sdt>
    <w:p w14:paraId="74A88C30" w14:textId="77777777" w:rsidR="00E7539C" w:rsidRPr="00F00FAC" w:rsidRDefault="00E7539C" w:rsidP="00E7539C">
      <w:pPr>
        <w:pStyle w:val="Heading1"/>
        <w:numPr>
          <w:ilvl w:val="0"/>
          <w:numId w:val="0"/>
        </w:numPr>
        <w:ind w:left="360"/>
        <w:jc w:val="center"/>
        <w:rPr>
          <w:rFonts w:ascii="Times New Roman" w:hAnsi="Times New Roman"/>
        </w:rPr>
      </w:pPr>
      <w:bookmarkStart w:id="3" w:name="_Toc231484580"/>
      <w:bookmarkStart w:id="4" w:name="_Toc204088622"/>
      <w:bookmarkStart w:id="5" w:name="_Ref230717921"/>
      <w:bookmarkStart w:id="6" w:name="_Toc231484579"/>
      <w:bookmarkEnd w:id="0"/>
      <w:r w:rsidRPr="00F00FAC">
        <w:rPr>
          <w:rFonts w:ascii="Times New Roman" w:hAnsi="Times New Roman"/>
        </w:rPr>
        <w:t>EXECUTIVE SUMMARY</w:t>
      </w:r>
      <w:bookmarkEnd w:id="3"/>
    </w:p>
    <w:tbl>
      <w:tblPr>
        <w:tblStyle w:val="TableGrid"/>
        <w:tblW w:w="8646" w:type="dxa"/>
        <w:tblInd w:w="421" w:type="dxa"/>
        <w:tblLook w:val="04A0" w:firstRow="1" w:lastRow="0" w:firstColumn="1" w:lastColumn="0" w:noHBand="0" w:noVBand="1"/>
      </w:tblPr>
      <w:tblGrid>
        <w:gridCol w:w="992"/>
        <w:gridCol w:w="7654"/>
      </w:tblGrid>
      <w:tr w:rsidR="007A1F61" w:rsidRPr="00F45ABD" w14:paraId="62FF4B5E" w14:textId="77777777" w:rsidTr="00D41A86">
        <w:trPr>
          <w:trHeight w:val="20"/>
        </w:trPr>
        <w:tc>
          <w:tcPr>
            <w:tcW w:w="992" w:type="dxa"/>
            <w:shd w:val="clear" w:color="auto" w:fill="A6A6A6" w:themeFill="background1" w:themeFillShade="A6"/>
            <w:hideMark/>
          </w:tcPr>
          <w:p w14:paraId="54B81462" w14:textId="546738B4" w:rsidR="007A1F61" w:rsidRPr="008D6A1F" w:rsidRDefault="007A1F61" w:rsidP="0059761A">
            <w:pPr>
              <w:spacing w:before="120" w:after="120"/>
              <w:jc w:val="center"/>
              <w:rPr>
                <w:b/>
                <w:bCs/>
                <w:lang w:val="en-IN"/>
              </w:rPr>
            </w:pPr>
            <w:r w:rsidRPr="008D6A1F">
              <w:rPr>
                <w:b/>
                <w:bCs/>
              </w:rPr>
              <w:t>Question</w:t>
            </w:r>
            <w:r>
              <w:rPr>
                <w:b/>
                <w:bCs/>
              </w:rPr>
              <w:t xml:space="preserve"> Nos.</w:t>
            </w:r>
          </w:p>
        </w:tc>
        <w:tc>
          <w:tcPr>
            <w:tcW w:w="7654" w:type="dxa"/>
            <w:shd w:val="clear" w:color="auto" w:fill="A6A6A6" w:themeFill="background1" w:themeFillShade="A6"/>
            <w:hideMark/>
          </w:tcPr>
          <w:p w14:paraId="34F2D5C2" w14:textId="77777777" w:rsidR="007A1F61" w:rsidRPr="008D6A1F" w:rsidRDefault="007A1F61" w:rsidP="0059761A">
            <w:pPr>
              <w:spacing w:before="120" w:after="120"/>
              <w:jc w:val="center"/>
              <w:rPr>
                <w:b/>
                <w:bCs/>
              </w:rPr>
            </w:pPr>
            <w:r w:rsidRPr="008D6A1F">
              <w:rPr>
                <w:b/>
                <w:bCs/>
              </w:rPr>
              <w:t>Response</w:t>
            </w:r>
            <w:r>
              <w:rPr>
                <w:b/>
                <w:bCs/>
              </w:rPr>
              <w:t>s</w:t>
            </w:r>
          </w:p>
        </w:tc>
      </w:tr>
      <w:tr w:rsidR="007A1F61" w:rsidRPr="00F45ABD" w14:paraId="692B051A" w14:textId="77777777" w:rsidTr="00D41A86">
        <w:trPr>
          <w:trHeight w:val="20"/>
        </w:trPr>
        <w:tc>
          <w:tcPr>
            <w:tcW w:w="992" w:type="dxa"/>
          </w:tcPr>
          <w:p w14:paraId="76FB3175" w14:textId="53825EC1" w:rsidR="007A1F61" w:rsidRPr="00F45ABD" w:rsidRDefault="007A1F61" w:rsidP="00D41A86">
            <w:pPr>
              <w:pStyle w:val="ListParagraph"/>
              <w:numPr>
                <w:ilvl w:val="0"/>
                <w:numId w:val="55"/>
              </w:numPr>
            </w:pPr>
          </w:p>
        </w:tc>
        <w:tc>
          <w:tcPr>
            <w:tcW w:w="7654" w:type="dxa"/>
            <w:hideMark/>
          </w:tcPr>
          <w:p w14:paraId="1DA54D51" w14:textId="77777777" w:rsidR="007A1F61" w:rsidRDefault="007A1F61" w:rsidP="0059761A">
            <w:pPr>
              <w:spacing w:before="120" w:after="120"/>
            </w:pPr>
            <w:r w:rsidRPr="00F45ABD">
              <w:t xml:space="preserve">Yes, </w:t>
            </w:r>
            <w:r>
              <w:t xml:space="preserve">the </w:t>
            </w:r>
            <w:r w:rsidRPr="00F45ABD">
              <w:t xml:space="preserve">Receiver can </w:t>
            </w:r>
            <w:r>
              <w:t>seek enforcement</w:t>
            </w:r>
            <w:r w:rsidRPr="00F45ABD">
              <w:t xml:space="preserve"> of the Moscow Bankruptcy Decision and the Receiver's authority, together with</w:t>
            </w:r>
            <w:r>
              <w:t xml:space="preserve"> an</w:t>
            </w:r>
            <w:r w:rsidRPr="00F45ABD">
              <w:t xml:space="preserve"> interim relief </w:t>
            </w:r>
            <w:r>
              <w:t xml:space="preserve">application </w:t>
            </w:r>
            <w:r w:rsidRPr="00F45ABD">
              <w:t>to preserve the Guarantor's Indian assets.</w:t>
            </w:r>
          </w:p>
          <w:p w14:paraId="6993E0FC" w14:textId="77777777" w:rsidR="007A1F61" w:rsidRPr="00F45ABD" w:rsidRDefault="007A1F61" w:rsidP="0059761A">
            <w:pPr>
              <w:spacing w:before="120" w:after="120"/>
            </w:pPr>
            <w:r>
              <w:t xml:space="preserve">Separately, subject to Russian law, GPB may enforce </w:t>
            </w:r>
            <w:proofErr w:type="spellStart"/>
            <w:r w:rsidRPr="009B1329">
              <w:t>Kempartners</w:t>
            </w:r>
            <w:proofErr w:type="spellEnd"/>
            <w:r w:rsidRPr="009B1329">
              <w:t xml:space="preserve"> Perovsky Decision</w:t>
            </w:r>
            <w:r>
              <w:t xml:space="preserve"> to recover the sums awarded therein.</w:t>
            </w:r>
          </w:p>
        </w:tc>
      </w:tr>
      <w:tr w:rsidR="007A1F61" w:rsidRPr="00F45ABD" w14:paraId="18F6A89B" w14:textId="77777777" w:rsidTr="00D41A86">
        <w:trPr>
          <w:trHeight w:val="20"/>
        </w:trPr>
        <w:tc>
          <w:tcPr>
            <w:tcW w:w="992" w:type="dxa"/>
          </w:tcPr>
          <w:p w14:paraId="326FA351" w14:textId="4B79E535" w:rsidR="007A1F61" w:rsidRPr="00F45ABD" w:rsidRDefault="007A1F61" w:rsidP="00D41A86">
            <w:pPr>
              <w:pStyle w:val="ListParagraph"/>
              <w:numPr>
                <w:ilvl w:val="0"/>
                <w:numId w:val="55"/>
              </w:numPr>
            </w:pPr>
          </w:p>
        </w:tc>
        <w:tc>
          <w:tcPr>
            <w:tcW w:w="7654" w:type="dxa"/>
            <w:hideMark/>
          </w:tcPr>
          <w:p w14:paraId="7FD93157" w14:textId="77777777" w:rsidR="007A1F61" w:rsidRDefault="007A1F61" w:rsidP="0059761A">
            <w:pPr>
              <w:spacing w:before="120" w:after="120"/>
            </w:pPr>
            <w:r w:rsidRPr="00F45ABD">
              <w:t>Asset</w:t>
            </w:r>
            <w:r>
              <w:t>s can be identified</w:t>
            </w:r>
            <w:r w:rsidRPr="00F45ABD">
              <w:t xml:space="preserve"> </w:t>
            </w:r>
            <w:r>
              <w:t xml:space="preserve">by discrete </w:t>
            </w:r>
            <w:r w:rsidRPr="00F45ABD">
              <w:t xml:space="preserve">searches through public records and private inquiries, </w:t>
            </w:r>
            <w:r>
              <w:t xml:space="preserve">and by court directions once the Moscow Bankruptcy Decision is recognised in India. </w:t>
            </w:r>
          </w:p>
          <w:p w14:paraId="4A46CB6B" w14:textId="77777777" w:rsidR="007A1F61" w:rsidRPr="00F45ABD" w:rsidRDefault="007A1F61" w:rsidP="0059761A">
            <w:pPr>
              <w:spacing w:before="120" w:after="120"/>
            </w:pPr>
            <w:r>
              <w:t>A</w:t>
            </w:r>
            <w:r w:rsidRPr="00F45ABD">
              <w:t>ssets can be preserved and attached</w:t>
            </w:r>
            <w:r>
              <w:t xml:space="preserve"> by court directions, </w:t>
            </w:r>
            <w:r w:rsidRPr="008D6A1F">
              <w:rPr>
                <w:i/>
                <w:iCs/>
              </w:rPr>
              <w:t>first</w:t>
            </w:r>
            <w:r>
              <w:t xml:space="preserve"> by making interim applications, and </w:t>
            </w:r>
            <w:r w:rsidRPr="008D6A1F">
              <w:rPr>
                <w:i/>
                <w:iCs/>
              </w:rPr>
              <w:t>upon recognition</w:t>
            </w:r>
            <w:r>
              <w:t xml:space="preserve"> of the </w:t>
            </w:r>
            <w:r w:rsidRPr="00F45ABD">
              <w:t xml:space="preserve">Moscow Bankruptcy Decision </w:t>
            </w:r>
            <w:r>
              <w:t xml:space="preserve">by initiating </w:t>
            </w:r>
            <w:r w:rsidRPr="00F45ABD">
              <w:t>execution proceedings</w:t>
            </w:r>
          </w:p>
        </w:tc>
      </w:tr>
      <w:tr w:rsidR="007A1F61" w:rsidRPr="00F45ABD" w14:paraId="404BF43B" w14:textId="77777777" w:rsidTr="00D41A86">
        <w:trPr>
          <w:trHeight w:val="20"/>
        </w:trPr>
        <w:tc>
          <w:tcPr>
            <w:tcW w:w="992" w:type="dxa"/>
          </w:tcPr>
          <w:p w14:paraId="49AF08E4" w14:textId="1E5B0CF4" w:rsidR="007A1F61" w:rsidRPr="00F45ABD" w:rsidRDefault="007A1F61" w:rsidP="00D41A86">
            <w:pPr>
              <w:pStyle w:val="ListParagraph"/>
              <w:numPr>
                <w:ilvl w:val="0"/>
                <w:numId w:val="55"/>
              </w:numPr>
            </w:pPr>
          </w:p>
        </w:tc>
        <w:tc>
          <w:tcPr>
            <w:tcW w:w="7654" w:type="dxa"/>
            <w:hideMark/>
          </w:tcPr>
          <w:p w14:paraId="5AF4F0B6" w14:textId="77777777" w:rsidR="007A1F61" w:rsidRPr="008D6A1F" w:rsidRDefault="007A1F61" w:rsidP="0059761A">
            <w:pPr>
              <w:spacing w:before="120" w:after="120"/>
            </w:pPr>
            <w:r>
              <w:t xml:space="preserve">A </w:t>
            </w:r>
            <w:r w:rsidRPr="008D6A1F">
              <w:t xml:space="preserve">direct civil recovery action may be available, subject to the governing law of the </w:t>
            </w:r>
            <w:proofErr w:type="gramStart"/>
            <w:r w:rsidRPr="008D6A1F">
              <w:t>guarantee</w:t>
            </w:r>
            <w:proofErr w:type="gramEnd"/>
            <w:r w:rsidRPr="008D6A1F">
              <w:t xml:space="preserve"> agreements. </w:t>
            </w:r>
          </w:p>
          <w:p w14:paraId="01C366D0" w14:textId="3DCCFE95" w:rsidR="007A1F61" w:rsidRPr="00F45ABD" w:rsidRDefault="007A1F61" w:rsidP="0059761A">
            <w:pPr>
              <w:spacing w:before="120" w:after="120"/>
              <w:rPr>
                <w:b/>
                <w:bCs/>
              </w:rPr>
            </w:pPr>
            <w:r w:rsidRPr="008D6A1F">
              <w:t xml:space="preserve">Initiating personal insolvency proceedings against the Guarantor </w:t>
            </w:r>
            <w:r>
              <w:t xml:space="preserve">as a first step </w:t>
            </w:r>
            <w:r w:rsidRPr="008D6A1F">
              <w:t xml:space="preserve">is not advisable. </w:t>
            </w:r>
          </w:p>
        </w:tc>
      </w:tr>
      <w:tr w:rsidR="007A1F61" w:rsidRPr="00F45ABD" w14:paraId="00273890" w14:textId="77777777" w:rsidTr="00D41A86">
        <w:trPr>
          <w:trHeight w:val="20"/>
        </w:trPr>
        <w:tc>
          <w:tcPr>
            <w:tcW w:w="992" w:type="dxa"/>
          </w:tcPr>
          <w:p w14:paraId="3CE55DE4" w14:textId="260CB94B" w:rsidR="007A1F61" w:rsidRPr="008D6A1F" w:rsidRDefault="007A1F61" w:rsidP="00D41A86">
            <w:pPr>
              <w:pStyle w:val="ListParagraph"/>
              <w:numPr>
                <w:ilvl w:val="0"/>
                <w:numId w:val="55"/>
              </w:numPr>
            </w:pPr>
          </w:p>
        </w:tc>
        <w:tc>
          <w:tcPr>
            <w:tcW w:w="7654" w:type="dxa"/>
            <w:hideMark/>
          </w:tcPr>
          <w:p w14:paraId="464FD83B" w14:textId="77777777" w:rsidR="007A1F61" w:rsidRPr="008D6A1F" w:rsidRDefault="007A1F61" w:rsidP="0059761A">
            <w:pPr>
              <w:spacing w:before="120" w:after="120"/>
            </w:pPr>
            <w:r w:rsidRPr="008D6A1F">
              <w:t xml:space="preserve">The principal risk is competing claims over the Guarantor's assets or the commencement of Indian insolvency proceedings before protective relief is obtained. </w:t>
            </w:r>
          </w:p>
        </w:tc>
      </w:tr>
      <w:tr w:rsidR="007A1F61" w:rsidRPr="00F45ABD" w14:paraId="5CB1B1CB" w14:textId="77777777" w:rsidTr="00D41A86">
        <w:trPr>
          <w:trHeight w:val="20"/>
        </w:trPr>
        <w:tc>
          <w:tcPr>
            <w:tcW w:w="992" w:type="dxa"/>
          </w:tcPr>
          <w:p w14:paraId="7BB199B7" w14:textId="512D451E" w:rsidR="007A1F61" w:rsidRPr="008D6A1F" w:rsidRDefault="007A1F61" w:rsidP="00D41A86">
            <w:pPr>
              <w:pStyle w:val="ListParagraph"/>
              <w:numPr>
                <w:ilvl w:val="0"/>
                <w:numId w:val="55"/>
              </w:numPr>
            </w:pPr>
          </w:p>
        </w:tc>
        <w:tc>
          <w:tcPr>
            <w:tcW w:w="7654" w:type="dxa"/>
            <w:hideMark/>
          </w:tcPr>
          <w:p w14:paraId="67630488" w14:textId="77777777" w:rsidR="007A1F61" w:rsidRPr="008D6A1F" w:rsidRDefault="007A1F61" w:rsidP="0059761A">
            <w:pPr>
              <w:spacing w:before="120" w:after="120"/>
            </w:pPr>
            <w:r w:rsidRPr="008D6A1F">
              <w:t>Estimated costs and fees are detailed below</w:t>
            </w:r>
          </w:p>
        </w:tc>
      </w:tr>
    </w:tbl>
    <w:p w14:paraId="43886A35" w14:textId="0C2F3AB2" w:rsidR="00C25E18" w:rsidRDefault="00C25E18" w:rsidP="00756CA7">
      <w:pPr>
        <w:pStyle w:val="decree"/>
        <w:numPr>
          <w:ilvl w:val="0"/>
          <w:numId w:val="0"/>
        </w:numPr>
        <w:ind w:left="360"/>
      </w:pPr>
    </w:p>
    <w:p w14:paraId="7F6B1EE9" w14:textId="6EDB16AE" w:rsidR="00DD1E84" w:rsidRPr="00F00FAC" w:rsidRDefault="00DD1E84" w:rsidP="006B0246">
      <w:pPr>
        <w:pStyle w:val="Heading1"/>
        <w:rPr>
          <w:rFonts w:ascii="Times New Roman" w:hAnsi="Times New Roman"/>
        </w:rPr>
      </w:pPr>
      <w:r w:rsidRPr="00F00FAC">
        <w:rPr>
          <w:rFonts w:ascii="Times New Roman" w:hAnsi="Times New Roman"/>
        </w:rPr>
        <w:t>INTRODUCTION</w:t>
      </w:r>
      <w:bookmarkEnd w:id="4"/>
      <w:bookmarkEnd w:id="5"/>
      <w:bookmarkEnd w:id="6"/>
    </w:p>
    <w:p w14:paraId="6A41E00B" w14:textId="77777777" w:rsidR="006A6F79" w:rsidRDefault="006A6F79" w:rsidP="006B0246">
      <w:pPr>
        <w:pStyle w:val="ListParagraph"/>
        <w:widowControl w:val="0"/>
        <w:numPr>
          <w:ilvl w:val="0"/>
          <w:numId w:val="3"/>
        </w:numPr>
        <w:contextualSpacing w:val="0"/>
      </w:pPr>
      <w:r>
        <w:t>We have prepared this memorandum in response to the questions raised by Gazprombank JSC (“GPB”) in the Terms of Reference dated 6 February 2026, as updated by GPB’s email dated 21 May 2026 (“Terms”). The questions concern Indian-law options for recovery against Mr Gaurav Sood (“Guarantor”), an Indian citizen and guarantor of certain obligations owed to GPB by Russian borrowers.</w:t>
      </w:r>
    </w:p>
    <w:p w14:paraId="35C4DB12" w14:textId="08C546E9" w:rsidR="00367861" w:rsidRDefault="006A6F79" w:rsidP="006B0246">
      <w:pPr>
        <w:pStyle w:val="ListParagraph"/>
        <w:widowControl w:val="0"/>
        <w:numPr>
          <w:ilvl w:val="0"/>
          <w:numId w:val="3"/>
        </w:numPr>
        <w:contextualSpacing w:val="0"/>
      </w:pPr>
      <w:r>
        <w:t>This memorandum is based on the information presently made available to us</w:t>
      </w:r>
      <w:r w:rsidR="00FE3EC8">
        <w:t xml:space="preserve"> and is</w:t>
      </w:r>
      <w:r>
        <w:t xml:space="preserve"> intended to identify available Indian-law routes and related risks. It does not constitute a final legal opinion on the underlying dispute or a final recommendation on strategy. We have not reviewed the underlying loan or guarantee documents, full Russian court records, certified translations, evidence of service, or documents showing the existence or location of the Guarantor’s assets in India. Our observations are therefore preliminary and subject to review of the relevant documents.</w:t>
      </w:r>
      <w:r w:rsidR="000D10DE">
        <w:t xml:space="preserve"> </w:t>
      </w:r>
    </w:p>
    <w:p w14:paraId="65AE1143" w14:textId="4EDB5240" w:rsidR="000D10DE" w:rsidRDefault="00367861" w:rsidP="006B0246">
      <w:pPr>
        <w:pStyle w:val="ListParagraph"/>
        <w:widowControl w:val="0"/>
        <w:numPr>
          <w:ilvl w:val="0"/>
          <w:numId w:val="3"/>
        </w:numPr>
        <w:contextualSpacing w:val="0"/>
      </w:pPr>
      <w:r w:rsidRPr="00367861">
        <w:t xml:space="preserve">By way of </w:t>
      </w:r>
      <w:r w:rsidR="006A6F79">
        <w:t xml:space="preserve">brief </w:t>
      </w:r>
      <w:r w:rsidRPr="00367861">
        <w:t xml:space="preserve">background, GPB advanced loans to entities within the </w:t>
      </w:r>
      <w:proofErr w:type="spellStart"/>
      <w:r w:rsidRPr="00367861">
        <w:t>ProPartners</w:t>
      </w:r>
      <w:proofErr w:type="spellEnd"/>
      <w:r w:rsidRPr="00367861">
        <w:t xml:space="preserve"> Group, namely </w:t>
      </w:r>
      <w:proofErr w:type="spellStart"/>
      <w:r w:rsidRPr="00367861">
        <w:t>Kempartners</w:t>
      </w:r>
      <w:proofErr w:type="spellEnd"/>
      <w:r w:rsidRPr="00367861">
        <w:t xml:space="preserve"> LLC, </w:t>
      </w:r>
      <w:proofErr w:type="spellStart"/>
      <w:r w:rsidRPr="00367861">
        <w:t>Himpartners</w:t>
      </w:r>
      <w:proofErr w:type="spellEnd"/>
      <w:r w:rsidRPr="00367861">
        <w:t xml:space="preserve"> LLC, and </w:t>
      </w:r>
      <w:proofErr w:type="spellStart"/>
      <w:r w:rsidRPr="00367861">
        <w:t>Ecopolymer</w:t>
      </w:r>
      <w:proofErr w:type="spellEnd"/>
      <w:r w:rsidRPr="00367861">
        <w:t xml:space="preserve"> LLC.</w:t>
      </w:r>
      <w:r w:rsidR="000D10DE">
        <w:t xml:space="preserve"> </w:t>
      </w:r>
      <w:r w:rsidR="00A609AF" w:rsidRPr="00A609AF">
        <w:t xml:space="preserve">The aggregate debt is </w:t>
      </w:r>
      <w:r w:rsidR="00A609AF">
        <w:t>approx.</w:t>
      </w:r>
      <w:r w:rsidR="00A609AF" w:rsidRPr="00A609AF">
        <w:t xml:space="preserve"> RUB 2.3 billion.</w:t>
      </w:r>
      <w:r w:rsidR="000D10DE" w:rsidRPr="000D10DE">
        <w:t xml:space="preserve"> </w:t>
      </w:r>
      <w:r w:rsidRPr="00367861">
        <w:t>The loan</w:t>
      </w:r>
      <w:r w:rsidR="00756CA7">
        <w:t xml:space="preserve">s </w:t>
      </w:r>
      <w:r w:rsidRPr="00367861">
        <w:t>are secured</w:t>
      </w:r>
      <w:r w:rsidR="000D10DE">
        <w:t xml:space="preserve"> </w:t>
      </w:r>
      <w:r w:rsidRPr="00367861">
        <w:t>by personal guarantees issued by the Guarantor, an Indian national whose address in the Terms is stated to be in Delhi.</w:t>
      </w:r>
      <w:r w:rsidR="00756CA7">
        <w:rPr>
          <w:rStyle w:val="FootnoteReference"/>
        </w:rPr>
        <w:footnoteReference w:id="1"/>
      </w:r>
      <w:r w:rsidRPr="00367861">
        <w:t xml:space="preserve"> </w:t>
      </w:r>
    </w:p>
    <w:p w14:paraId="3AB7CF0C" w14:textId="05376167" w:rsidR="00367861" w:rsidRDefault="000D10DE" w:rsidP="006B0246">
      <w:pPr>
        <w:pStyle w:val="ListParagraph"/>
        <w:widowControl w:val="0"/>
        <w:numPr>
          <w:ilvl w:val="0"/>
          <w:numId w:val="3"/>
        </w:numPr>
        <w:contextualSpacing w:val="0"/>
      </w:pPr>
      <w:r w:rsidRPr="000D10DE">
        <w:t>For present purposes, the relevant Russian court decisions</w:t>
      </w:r>
      <w:r>
        <w:t xml:space="preserve"> </w:t>
      </w:r>
      <w:r w:rsidR="00367861" w:rsidRPr="00367861">
        <w:t>are</w:t>
      </w:r>
      <w:r>
        <w:t>:</w:t>
      </w:r>
    </w:p>
    <w:p w14:paraId="2155EEDB" w14:textId="6FF96788" w:rsidR="00A609AF" w:rsidRPr="006A6F79" w:rsidRDefault="00A609AF" w:rsidP="006B0246">
      <w:pPr>
        <w:pStyle w:val="ListParagraph"/>
        <w:widowControl w:val="0"/>
        <w:numPr>
          <w:ilvl w:val="1"/>
          <w:numId w:val="3"/>
        </w:numPr>
        <w:contextualSpacing w:val="0"/>
      </w:pPr>
      <w:proofErr w:type="spellStart"/>
      <w:r w:rsidRPr="00367861">
        <w:rPr>
          <w:rFonts w:eastAsia="Calibri"/>
          <w:b/>
          <w:bCs/>
          <w:u w:val="single"/>
        </w:rPr>
        <w:t>Kempartners</w:t>
      </w:r>
      <w:proofErr w:type="spellEnd"/>
      <w:r w:rsidRPr="00367861">
        <w:rPr>
          <w:rFonts w:eastAsia="Calibri"/>
          <w:b/>
          <w:bCs/>
          <w:u w:val="single"/>
        </w:rPr>
        <w:t xml:space="preserve"> </w:t>
      </w:r>
      <w:r>
        <w:rPr>
          <w:rFonts w:eastAsia="Calibri"/>
          <w:b/>
          <w:bCs/>
          <w:u w:val="single"/>
        </w:rPr>
        <w:t>Judgment</w:t>
      </w:r>
      <w:r w:rsidRPr="000D10DE">
        <w:rPr>
          <w:rFonts w:eastAsia="Calibri"/>
          <w:b/>
          <w:bCs/>
        </w:rPr>
        <w:t>:</w:t>
      </w:r>
      <w:r w:rsidRPr="00367861">
        <w:rPr>
          <w:rFonts w:eastAsia="Calibri"/>
        </w:rPr>
        <w:t xml:space="preserve"> GPB filed a lawsuit before the </w:t>
      </w:r>
      <w:proofErr w:type="spellStart"/>
      <w:r w:rsidRPr="00367861">
        <w:rPr>
          <w:rFonts w:eastAsia="Calibri"/>
        </w:rPr>
        <w:t>Perovsky</w:t>
      </w:r>
      <w:proofErr w:type="spellEnd"/>
      <w:r w:rsidRPr="00367861">
        <w:rPr>
          <w:rFonts w:eastAsia="Calibri"/>
        </w:rPr>
        <w:t xml:space="preserve"> District Court of Moscow</w:t>
      </w:r>
      <w:r>
        <w:rPr>
          <w:rFonts w:eastAsia="Calibri"/>
        </w:rPr>
        <w:t xml:space="preserve"> </w:t>
      </w:r>
      <w:r w:rsidRPr="00367861">
        <w:rPr>
          <w:rFonts w:eastAsia="Calibri"/>
        </w:rPr>
        <w:t xml:space="preserve">against the Guarantor in relation to the loan to </w:t>
      </w:r>
      <w:proofErr w:type="spellStart"/>
      <w:r w:rsidRPr="00367861">
        <w:rPr>
          <w:rFonts w:eastAsia="Calibri"/>
        </w:rPr>
        <w:t>Kempartners</w:t>
      </w:r>
      <w:proofErr w:type="spellEnd"/>
      <w:r w:rsidRPr="00367861">
        <w:rPr>
          <w:rFonts w:eastAsia="Calibri"/>
        </w:rPr>
        <w:t>, seeking recovery of approximately RUB 378 million. By ruling dated 13 February 2026</w:t>
      </w:r>
      <w:r>
        <w:rPr>
          <w:rFonts w:eastAsia="Calibri"/>
        </w:rPr>
        <w:t xml:space="preserve"> (operative issued on 11 February 2026)</w:t>
      </w:r>
      <w:r w:rsidRPr="00367861">
        <w:rPr>
          <w:rFonts w:eastAsia="Calibri"/>
        </w:rPr>
        <w:t xml:space="preserve">, the </w:t>
      </w:r>
      <w:proofErr w:type="spellStart"/>
      <w:r w:rsidRPr="00367861">
        <w:rPr>
          <w:rFonts w:eastAsia="Calibri"/>
        </w:rPr>
        <w:t>Perovsky</w:t>
      </w:r>
      <w:proofErr w:type="spellEnd"/>
      <w:r w:rsidRPr="00367861">
        <w:rPr>
          <w:rFonts w:eastAsia="Calibri"/>
        </w:rPr>
        <w:t xml:space="preserve"> </w:t>
      </w:r>
      <w:r w:rsidRPr="00756CA7">
        <w:rPr>
          <w:rFonts w:eastAsia="Calibri"/>
        </w:rPr>
        <w:t xml:space="preserve">District Court </w:t>
      </w:r>
      <w:r>
        <w:rPr>
          <w:rFonts w:eastAsia="Calibri"/>
        </w:rPr>
        <w:t>ordered recovery of</w:t>
      </w:r>
      <w:r w:rsidRPr="00756CA7">
        <w:rPr>
          <w:rFonts w:eastAsia="Calibri"/>
        </w:rPr>
        <w:t xml:space="preserve"> RUB 378,320,281.11</w:t>
      </w:r>
      <w:r>
        <w:rPr>
          <w:rFonts w:eastAsia="Calibri"/>
        </w:rPr>
        <w:t xml:space="preserve"> jointly</w:t>
      </w:r>
      <w:r w:rsidRPr="00756CA7">
        <w:rPr>
          <w:rFonts w:eastAsia="Calibri"/>
        </w:rPr>
        <w:t xml:space="preserve"> from the Guarantor</w:t>
      </w:r>
      <w:r>
        <w:rPr>
          <w:rFonts w:eastAsia="Calibri"/>
        </w:rPr>
        <w:t xml:space="preserve"> and K. Rzayev</w:t>
      </w:r>
      <w:r w:rsidRPr="00756CA7">
        <w:rPr>
          <w:rFonts w:eastAsia="Calibri"/>
        </w:rPr>
        <w:t>, together with a state fee of RUB 731,480</w:t>
      </w:r>
      <w:r w:rsidR="0009428C">
        <w:rPr>
          <w:rFonts w:eastAsia="Calibri"/>
        </w:rPr>
        <w:t xml:space="preserve">, totalling </w:t>
      </w:r>
      <w:r w:rsidR="0009428C" w:rsidRPr="0009428C">
        <w:rPr>
          <w:rFonts w:eastAsia="Calibri"/>
        </w:rPr>
        <w:t>RUB 379,051,761.11</w:t>
      </w:r>
      <w:r w:rsidRPr="00756CA7">
        <w:rPr>
          <w:rFonts w:eastAsia="Calibri"/>
        </w:rPr>
        <w:t xml:space="preserve"> (“</w:t>
      </w:r>
      <w:proofErr w:type="spellStart"/>
      <w:r w:rsidRPr="00756CA7">
        <w:rPr>
          <w:rFonts w:eastAsia="Calibri"/>
        </w:rPr>
        <w:t>Kempartners</w:t>
      </w:r>
      <w:proofErr w:type="spellEnd"/>
      <w:r w:rsidRPr="00756CA7">
        <w:rPr>
          <w:rFonts w:eastAsia="Calibri"/>
        </w:rPr>
        <w:t xml:space="preserve"> </w:t>
      </w:r>
      <w:r>
        <w:rPr>
          <w:rFonts w:eastAsia="Calibri"/>
        </w:rPr>
        <w:t>Judgment</w:t>
      </w:r>
      <w:r w:rsidRPr="00756CA7">
        <w:rPr>
          <w:rFonts w:eastAsia="Calibri"/>
        </w:rPr>
        <w:t xml:space="preserve">”). </w:t>
      </w:r>
      <w:r w:rsidRPr="00A55520">
        <w:rPr>
          <w:rFonts w:eastAsia="Calibri"/>
        </w:rPr>
        <w:t>We understand that this ruling has entered into force.</w:t>
      </w:r>
    </w:p>
    <w:p w14:paraId="206BF25D" w14:textId="67C642A9" w:rsidR="000D10DE" w:rsidRDefault="000D10DE" w:rsidP="006B0246">
      <w:pPr>
        <w:pStyle w:val="ListParagraph"/>
        <w:widowControl w:val="0"/>
        <w:numPr>
          <w:ilvl w:val="1"/>
          <w:numId w:val="3"/>
        </w:numPr>
        <w:contextualSpacing w:val="0"/>
      </w:pPr>
      <w:r w:rsidRPr="000D10DE">
        <w:rPr>
          <w:b/>
          <w:bCs/>
          <w:u w:val="single"/>
        </w:rPr>
        <w:t>Moscow Bankruptcy Order</w:t>
      </w:r>
      <w:r w:rsidR="006D1EF5" w:rsidRPr="000D10DE">
        <w:rPr>
          <w:b/>
          <w:bCs/>
        </w:rPr>
        <w:t>:</w:t>
      </w:r>
      <w:r w:rsidR="006D1EF5" w:rsidRPr="00F00FAC">
        <w:t xml:space="preserve"> </w:t>
      </w:r>
      <w:r w:rsidRPr="000D10DE">
        <w:t xml:space="preserve">The Guarantor filed a voluntary bankruptcy petition before the Moscow City </w:t>
      </w:r>
      <w:proofErr w:type="spellStart"/>
      <w:r w:rsidRPr="000D10DE">
        <w:t>Arbitrazh</w:t>
      </w:r>
      <w:proofErr w:type="spellEnd"/>
      <w:r w:rsidRPr="000D10DE">
        <w:t xml:space="preserve"> Court on 4 December 2025. Following a hearing on 24 February 2026, a restructuring procedure was introduced and Ms Tatyana </w:t>
      </w:r>
      <w:proofErr w:type="spellStart"/>
      <w:r w:rsidRPr="000D10DE">
        <w:t>Olegovna</w:t>
      </w:r>
      <w:proofErr w:type="spellEnd"/>
      <w:r w:rsidRPr="000D10DE">
        <w:t xml:space="preserve"> Gulyaeva (</w:t>
      </w:r>
      <w:proofErr w:type="spellStart"/>
      <w:r w:rsidRPr="000D10DE">
        <w:t>Shupa</w:t>
      </w:r>
      <w:proofErr w:type="spellEnd"/>
      <w:r w:rsidRPr="000D10DE">
        <w:t xml:space="preserve">) was approved as financial receiver (“Receiver”). </w:t>
      </w:r>
      <w:r>
        <w:t>T</w:t>
      </w:r>
      <w:r w:rsidRPr="00756CA7">
        <w:t xml:space="preserve">he court decision introducing the restructuring procedure and approving the Receiver </w:t>
      </w:r>
      <w:r>
        <w:t xml:space="preserve">is referred to </w:t>
      </w:r>
      <w:r w:rsidRPr="00756CA7">
        <w:t xml:space="preserve">as the “Moscow Bankruptcy </w:t>
      </w:r>
      <w:r>
        <w:t>Order”.</w:t>
      </w:r>
    </w:p>
    <w:p w14:paraId="4C5227A9" w14:textId="0F8E0C3B" w:rsidR="000D10DE" w:rsidRDefault="006A6F79" w:rsidP="006B0246">
      <w:pPr>
        <w:pStyle w:val="ListParagraph"/>
        <w:widowControl w:val="0"/>
        <w:numPr>
          <w:ilvl w:val="0"/>
          <w:numId w:val="3"/>
        </w:numPr>
        <w:contextualSpacing w:val="0"/>
      </w:pPr>
      <w:r>
        <w:t xml:space="preserve">GPB had also commenced proceedings </w:t>
      </w:r>
      <w:r w:rsidRPr="000D10DE">
        <w:t xml:space="preserve">against the Guarantor </w:t>
      </w:r>
      <w:r w:rsidRPr="009C1C0E">
        <w:rPr>
          <w:rFonts w:eastAsia="Calibri"/>
        </w:rPr>
        <w:t xml:space="preserve">in relation to the </w:t>
      </w:r>
      <w:proofErr w:type="spellStart"/>
      <w:r w:rsidRPr="009C1C0E">
        <w:rPr>
          <w:rFonts w:eastAsia="Calibri"/>
        </w:rPr>
        <w:t>Himpartners</w:t>
      </w:r>
      <w:proofErr w:type="spellEnd"/>
      <w:r>
        <w:rPr>
          <w:rFonts w:eastAsia="Calibri"/>
        </w:rPr>
        <w:t xml:space="preserve"> loan (approx.</w:t>
      </w:r>
      <w:r w:rsidRPr="009C1C0E">
        <w:rPr>
          <w:rFonts w:eastAsia="Calibri"/>
        </w:rPr>
        <w:t xml:space="preserve"> RUB 264 million</w:t>
      </w:r>
      <w:r>
        <w:rPr>
          <w:rFonts w:eastAsia="Calibri"/>
        </w:rPr>
        <w:t>)</w:t>
      </w:r>
      <w:r w:rsidRPr="000D10DE">
        <w:t xml:space="preserve"> </w:t>
      </w:r>
      <w:r w:rsidR="000D10DE" w:rsidRPr="000D10DE">
        <w:t xml:space="preserve">and </w:t>
      </w:r>
      <w:r>
        <w:t xml:space="preserve">the </w:t>
      </w:r>
      <w:proofErr w:type="spellStart"/>
      <w:r w:rsidR="000D10DE" w:rsidRPr="000D10DE">
        <w:t>Ecopolymer</w:t>
      </w:r>
      <w:proofErr w:type="spellEnd"/>
      <w:r w:rsidR="000D10DE" w:rsidRPr="000D10DE">
        <w:t xml:space="preserve"> </w:t>
      </w:r>
      <w:r>
        <w:t>loan (</w:t>
      </w:r>
      <w:r>
        <w:rPr>
          <w:rFonts w:eastAsia="Calibri"/>
        </w:rPr>
        <w:t>approx.</w:t>
      </w:r>
      <w:r w:rsidRPr="009C1C0E">
        <w:rPr>
          <w:rFonts w:eastAsia="Calibri"/>
        </w:rPr>
        <w:t xml:space="preserve"> RUB 35 million</w:t>
      </w:r>
      <w:r>
        <w:t xml:space="preserve">). </w:t>
      </w:r>
      <w:r w:rsidR="00A609AF" w:rsidRPr="00A609AF">
        <w:t>However, by rulings in March 2026, the claims against the Guarantor were left without consideration due to the Moscow Bankruptcy Proceedings. Those rulings had not entered into force as of 14 May 2026 and do not appear to provide independent money judgments against the Guarantor for Indian enforcement purposes, unless GPB has appealed or otherwise revived those claims.</w:t>
      </w:r>
    </w:p>
    <w:p w14:paraId="672EE2C7" w14:textId="370F6692" w:rsidR="00504FBD" w:rsidRDefault="00504FBD" w:rsidP="006B0246">
      <w:pPr>
        <w:pStyle w:val="ListParagraph"/>
        <w:widowControl w:val="0"/>
        <w:numPr>
          <w:ilvl w:val="0"/>
          <w:numId w:val="3"/>
        </w:numPr>
        <w:contextualSpacing w:val="0"/>
      </w:pPr>
      <w:r w:rsidRPr="00504FBD">
        <w:lastRenderedPageBreak/>
        <w:t xml:space="preserve">Against this background, the Indian routes differ depending on the Russian decision being relied upon. The </w:t>
      </w:r>
      <w:proofErr w:type="spellStart"/>
      <w:r w:rsidRPr="00504FBD">
        <w:t>Kempartners</w:t>
      </w:r>
      <w:proofErr w:type="spellEnd"/>
      <w:r w:rsidRPr="00504FBD">
        <w:t xml:space="preserve"> Judgment is relevant as a GPB-led money judgment route. The Moscow Bankruptcy Order is relevant as a Receiver-led recognition route in aid of the Russian bankruptcy process. The questions below are addressed with that distinction in mind.</w:t>
      </w:r>
    </w:p>
    <w:p w14:paraId="6D5851B2" w14:textId="33E41F9A" w:rsidR="00F624C9" w:rsidRDefault="00347A8C" w:rsidP="006B0246">
      <w:pPr>
        <w:pStyle w:val="Heading1"/>
        <w:rPr>
          <w:rFonts w:ascii="Times New Roman" w:hAnsi="Times New Roman"/>
          <w:caps w:val="0"/>
        </w:rPr>
      </w:pPr>
      <w:bookmarkStart w:id="7" w:name="_Toc231484581"/>
      <w:r w:rsidRPr="00F00FAC">
        <w:rPr>
          <w:rFonts w:ascii="Times New Roman" w:hAnsi="Times New Roman"/>
          <w:caps w:val="0"/>
        </w:rPr>
        <w:t>QUESTION 1</w:t>
      </w:r>
      <w:bookmarkEnd w:id="7"/>
      <w:r w:rsidR="00504FBD">
        <w:rPr>
          <w:rFonts w:ascii="Times New Roman" w:hAnsi="Times New Roman"/>
          <w:caps w:val="0"/>
        </w:rPr>
        <w:t>:</w:t>
      </w:r>
      <w:r w:rsidR="00504FBD" w:rsidRPr="00504FBD">
        <w:rPr>
          <w:rFonts w:ascii="Times New Roman" w:hAnsi="Times New Roman"/>
          <w:caps w:val="0"/>
        </w:rPr>
        <w:t xml:space="preserve"> RECOGNITION OF RUSSIAN </w:t>
      </w:r>
      <w:r w:rsidR="00504FBD">
        <w:rPr>
          <w:rFonts w:ascii="Times New Roman" w:hAnsi="Times New Roman"/>
          <w:caps w:val="0"/>
        </w:rPr>
        <w:t>JUDICIAL ACTS AND INTERIM RELIEF</w:t>
      </w:r>
    </w:p>
    <w:p w14:paraId="1A0DE502" w14:textId="59EBF0E7" w:rsidR="00A609AF" w:rsidRDefault="00402C42" w:rsidP="006B0246">
      <w:pPr>
        <w:ind w:left="720" w:right="363"/>
        <w:rPr>
          <w:i/>
          <w:iCs/>
        </w:rPr>
      </w:pPr>
      <w:r>
        <w:rPr>
          <w:i/>
          <w:iCs/>
        </w:rPr>
        <w:t>“</w:t>
      </w:r>
      <w:r w:rsidR="00A609AF" w:rsidRPr="00F00FAC">
        <w:rPr>
          <w:i/>
          <w:iCs/>
        </w:rPr>
        <w:t xml:space="preserve">Assess the </w:t>
      </w:r>
      <w:r w:rsidR="00A609AF" w:rsidRPr="00402C42">
        <w:rPr>
          <w:rStyle w:val="Emphasis"/>
        </w:rPr>
        <w:t>possibility</w:t>
      </w:r>
      <w:r w:rsidR="00A609AF" w:rsidRPr="00F00FAC">
        <w:rPr>
          <w:i/>
          <w:iCs/>
        </w:rPr>
        <w:t xml:space="preserve"> of recognizing and executing judicial acts of Russian arbitration courts in India in the bankruptcy case of Sood Gaurav, the possibility of recognizing the powers of the bankruptcy trustee in India, possible measures of assistance from the Indian court and government agencies in the search for the debtor’s property and foreclosure in India, the possibility of obtaining interim measures in support the Russian bankruptcy procedure in India in relation to the property of Sood Gaurav.</w:t>
      </w:r>
      <w:r>
        <w:rPr>
          <w:i/>
          <w:iCs/>
        </w:rPr>
        <w:t>”</w:t>
      </w:r>
    </w:p>
    <w:p w14:paraId="29977148" w14:textId="0C38CFED" w:rsidR="00BD505D" w:rsidRPr="00A609AF" w:rsidRDefault="00AD71A8" w:rsidP="006B0246">
      <w:pPr>
        <w:pStyle w:val="Heading2"/>
      </w:pPr>
      <w:r w:rsidRPr="00AD71A8">
        <w:t xml:space="preserve">Recognition of Russian </w:t>
      </w:r>
      <w:r>
        <w:t>judgments</w:t>
      </w:r>
      <w:r w:rsidRPr="00AD71A8">
        <w:t xml:space="preserve"> and the Receiver’s powers</w:t>
      </w:r>
    </w:p>
    <w:p w14:paraId="4B735F61" w14:textId="13AD0536" w:rsidR="00504FBD" w:rsidRDefault="00AD71A8" w:rsidP="006B0246">
      <w:pPr>
        <w:pStyle w:val="decree"/>
        <w:spacing w:before="120" w:after="120"/>
      </w:pPr>
      <w:r w:rsidRPr="00AD71A8">
        <w:t xml:space="preserve">It is possible to seek recognition and give effect to Russian judicial acts in India, including the </w:t>
      </w:r>
      <w:proofErr w:type="spellStart"/>
      <w:r w:rsidRPr="00AD71A8">
        <w:t>Kempartners</w:t>
      </w:r>
      <w:proofErr w:type="spellEnd"/>
      <w:r w:rsidRPr="00AD71A8">
        <w:t xml:space="preserve"> Judgment and the Moscow Bankruptcy Order. </w:t>
      </w:r>
      <w:r w:rsidR="00504FBD" w:rsidRPr="00504FBD">
        <w:t>The route is a fresh civil suit before an Indian court seeking an Indian decree or declaration based on the relevant Russian decision, together with consequential relief in India</w:t>
      </w:r>
      <w:r w:rsidRPr="00AD71A8">
        <w:t>.</w:t>
      </w:r>
      <w:r w:rsidR="00504FBD" w:rsidRPr="00504FBD">
        <w:t xml:space="preserve"> </w:t>
      </w:r>
      <w:r w:rsidR="00504FBD">
        <w:t>Presently,</w:t>
      </w:r>
      <w:r w:rsidR="0029633E">
        <w:t xml:space="preserve"> there is no</w:t>
      </w:r>
      <w:r w:rsidR="00504FBD">
        <w:t xml:space="preserve"> </w:t>
      </w:r>
      <w:r w:rsidR="00504FBD" w:rsidRPr="00AD71A8">
        <w:t>automatic recognition</w:t>
      </w:r>
      <w:r w:rsidR="0029633E">
        <w:t xml:space="preserve"> of foreign bankruptcy</w:t>
      </w:r>
      <w:r w:rsidR="00504FBD" w:rsidRPr="00AD71A8">
        <w:t xml:space="preserve"> under Indian insolvency law, and </w:t>
      </w:r>
      <w:r w:rsidR="0029633E" w:rsidRPr="0029633E">
        <w:t>Russian judgments are not directly executable in India as foreign decrees.</w:t>
      </w:r>
      <w:r w:rsidR="0029633E">
        <w:rPr>
          <w:rStyle w:val="FootnoteReference"/>
        </w:rPr>
        <w:footnoteReference w:id="2"/>
      </w:r>
      <w:r w:rsidR="0029633E" w:rsidRPr="0029633E">
        <w:t xml:space="preserve"> </w:t>
      </w:r>
      <w:r w:rsidR="0029633E">
        <w:t>However, t</w:t>
      </w:r>
      <w:r w:rsidR="0029633E" w:rsidRPr="0029633E">
        <w:t>his is a procedural limitation, not a bar to recognition or enforcement in India.</w:t>
      </w:r>
    </w:p>
    <w:p w14:paraId="715001A4" w14:textId="3BCACD7B" w:rsidR="0029633E" w:rsidRDefault="0029633E" w:rsidP="006B0246">
      <w:pPr>
        <w:pStyle w:val="decree"/>
        <w:spacing w:before="120" w:after="120"/>
      </w:pPr>
      <w:r w:rsidRPr="0029633E">
        <w:t xml:space="preserve">The legal route is broadly the same for both the </w:t>
      </w:r>
      <w:proofErr w:type="spellStart"/>
      <w:r w:rsidRPr="0029633E">
        <w:t>Kempartners</w:t>
      </w:r>
      <w:proofErr w:type="spellEnd"/>
      <w:r w:rsidRPr="0029633E">
        <w:t xml:space="preserve"> Judgment and the Moscow Bankruptcy Order. The Indian court will assess whether the Russian judicial act satisfies the </w:t>
      </w:r>
      <w:r w:rsidRPr="0029633E">
        <w:rPr>
          <w:u w:val="single"/>
        </w:rPr>
        <w:t>six</w:t>
      </w:r>
      <w:r>
        <w:t xml:space="preserve"> </w:t>
      </w:r>
      <w:r w:rsidRPr="0029633E">
        <w:t>limited tests applicable to foreign judgments in India.</w:t>
      </w:r>
      <w:r>
        <w:rPr>
          <w:rStyle w:val="FootnoteReference"/>
        </w:rPr>
        <w:footnoteReference w:id="3"/>
      </w:r>
      <w:r w:rsidRPr="0029633E">
        <w:t xml:space="preserve"> If those tests are satisfied, the Indian court will not re-hear the Russian dispute. The Indian proceeding is therefore not a re-trial, but a proceeding to obtain Indian court relief based on the Russian judicial act.</w:t>
      </w:r>
    </w:p>
    <w:p w14:paraId="403B9A92" w14:textId="55BDF3D4" w:rsidR="00BD505D" w:rsidRDefault="00BD505D" w:rsidP="006B0246">
      <w:pPr>
        <w:pStyle w:val="decree"/>
        <w:spacing w:before="120" w:after="120"/>
      </w:pPr>
      <w:r w:rsidRPr="00504FBD">
        <w:rPr>
          <w:b/>
          <w:bCs/>
          <w:i/>
          <w:iCs/>
        </w:rPr>
        <w:t xml:space="preserve">For the </w:t>
      </w:r>
      <w:proofErr w:type="spellStart"/>
      <w:r w:rsidRPr="00504FBD">
        <w:rPr>
          <w:b/>
          <w:bCs/>
          <w:i/>
          <w:iCs/>
        </w:rPr>
        <w:t>Kempartners</w:t>
      </w:r>
      <w:proofErr w:type="spellEnd"/>
      <w:r w:rsidRPr="00504FBD">
        <w:rPr>
          <w:b/>
          <w:bCs/>
          <w:i/>
          <w:iCs/>
        </w:rPr>
        <w:t xml:space="preserve"> Judgment,</w:t>
      </w:r>
      <w:r w:rsidRPr="00BD505D">
        <w:t xml:space="preserve"> GPB has a </w:t>
      </w:r>
      <w:r>
        <w:t>direct Indian recovery route</w:t>
      </w:r>
      <w:r w:rsidRPr="00BD505D">
        <w:t>. The judgment is a money judgment in GPB’s favour against the Guarantor for RUB 379,051,761.11. GPB may file a fresh Indian suit on the judgment and seek an Indian decree for the judgment amount. This route is available to GPB directly, unlike the Moscow Bankruptcy Order route, which would likely be Receiver-led.</w:t>
      </w:r>
      <w:r>
        <w:t xml:space="preserve"> </w:t>
      </w:r>
    </w:p>
    <w:p w14:paraId="693AC9A7" w14:textId="1B1AF0F0" w:rsidR="00C939DA" w:rsidRDefault="00C939DA" w:rsidP="006B0246">
      <w:pPr>
        <w:pStyle w:val="ListParagraph"/>
        <w:widowControl w:val="0"/>
        <w:numPr>
          <w:ilvl w:val="0"/>
          <w:numId w:val="3"/>
        </w:numPr>
        <w:contextualSpacing w:val="0"/>
      </w:pPr>
      <w:r w:rsidRPr="006D53CB">
        <w:t xml:space="preserve">Singularity is currently representing </w:t>
      </w:r>
      <w:proofErr w:type="spellStart"/>
      <w:r w:rsidRPr="006D53CB">
        <w:t>EuroChem</w:t>
      </w:r>
      <w:proofErr w:type="spellEnd"/>
      <w:r w:rsidRPr="006D53CB">
        <w:t xml:space="preserve"> North-West-2 (LLC) in a commercial suit before the Bombay High Court seeking recognition and enforcement of a </w:t>
      </w:r>
      <w:r>
        <w:t xml:space="preserve">money judgment by </w:t>
      </w:r>
      <w:r w:rsidR="0029633E">
        <w:t xml:space="preserve">the </w:t>
      </w:r>
      <w:r w:rsidRPr="006D53CB">
        <w:t xml:space="preserve">Moscow </w:t>
      </w:r>
      <w:proofErr w:type="spellStart"/>
      <w:r>
        <w:t>Abritrazh</w:t>
      </w:r>
      <w:proofErr w:type="spellEnd"/>
      <w:r w:rsidRPr="006D53CB">
        <w:t xml:space="preserve"> Court </w:t>
      </w:r>
      <w:r w:rsidR="0029633E">
        <w:t xml:space="preserve">for </w:t>
      </w:r>
      <w:r w:rsidRPr="006D53CB">
        <w:lastRenderedPageBreak/>
        <w:t xml:space="preserve">approximately US$2.2 billion, </w:t>
      </w:r>
      <w:r w:rsidR="0029633E">
        <w:t>together with</w:t>
      </w:r>
      <w:r w:rsidRPr="006D53CB">
        <w:t xml:space="preserve"> injunctive relief and summary judgment (“</w:t>
      </w:r>
      <w:proofErr w:type="spellStart"/>
      <w:r w:rsidRPr="006D53CB">
        <w:rPr>
          <w:b/>
          <w:bCs/>
        </w:rPr>
        <w:t>EuroChem</w:t>
      </w:r>
      <w:proofErr w:type="spellEnd"/>
      <w:r w:rsidRPr="006D53CB">
        <w:rPr>
          <w:b/>
          <w:bCs/>
        </w:rPr>
        <w:t xml:space="preserve"> Proceedings</w:t>
      </w:r>
      <w:r w:rsidRPr="006D53CB">
        <w:t>”)</w:t>
      </w:r>
      <w:r w:rsidRPr="00F00FAC">
        <w:t>.</w:t>
      </w:r>
      <w:r w:rsidRPr="00F00FAC">
        <w:rPr>
          <w:rStyle w:val="FootnoteReference"/>
        </w:rPr>
        <w:footnoteReference w:id="4"/>
      </w:r>
      <w:r w:rsidRPr="00967BD9">
        <w:t xml:space="preserve"> That proceeding is a practical</w:t>
      </w:r>
      <w:r>
        <w:t xml:space="preserve">, live </w:t>
      </w:r>
      <w:r w:rsidRPr="00967BD9">
        <w:t>example of the route by which a Russian judgment may be pursued in India.</w:t>
      </w:r>
    </w:p>
    <w:p w14:paraId="0EC4769F" w14:textId="5DA67406" w:rsidR="00504FBD" w:rsidRDefault="00504FBD" w:rsidP="006B0246">
      <w:pPr>
        <w:pStyle w:val="decree"/>
        <w:spacing w:before="120" w:after="120"/>
      </w:pPr>
      <w:r>
        <w:t>GPB should obtain limited Russian-law confirmation on whether the Moscow Bankruptcy Proceedings affect GPB’s ability to prosecute the Indian suit or retain / apply any recovery directly. However, a Russian moratorium on individual enforcement should not, by itself, prevent GPB from suing in India unless it is recognised or given effect by an Indian court.</w:t>
      </w:r>
    </w:p>
    <w:p w14:paraId="53198028" w14:textId="1AF004C1" w:rsidR="00504FBD" w:rsidRDefault="00504FBD" w:rsidP="006B0246">
      <w:pPr>
        <w:pStyle w:val="decree"/>
        <w:spacing w:before="120" w:after="120"/>
      </w:pPr>
      <w:r w:rsidRPr="00BD505D">
        <w:rPr>
          <w:b/>
          <w:bCs/>
          <w:i/>
          <w:iCs/>
        </w:rPr>
        <w:t>For the Moscow Bankruptcy Order</w:t>
      </w:r>
      <w:r>
        <w:t>, the Receiver may seek recognition of her authority in India. The Receiver may file a fresh civil suit seeking declarations that she is entitled to administer and realise the Guarantor’s Indian assets, together with interim protection over those assets.</w:t>
      </w:r>
    </w:p>
    <w:p w14:paraId="098C5BE3" w14:textId="6B15293C" w:rsidR="0029633E" w:rsidRDefault="0029633E" w:rsidP="006B0246">
      <w:pPr>
        <w:pStyle w:val="decree"/>
        <w:spacing w:before="120" w:after="120"/>
      </w:pPr>
      <w:r w:rsidRPr="0029633E">
        <w:t>The closest Indian authority in the bankruptcy context is</w:t>
      </w:r>
      <w:r>
        <w:t xml:space="preserve"> </w:t>
      </w:r>
      <w:r w:rsidR="00C939DA" w:rsidRPr="0029633E">
        <w:rPr>
          <w:i/>
        </w:rPr>
        <w:t xml:space="preserve">Toshiaki </w:t>
      </w:r>
      <w:proofErr w:type="spellStart"/>
      <w:r w:rsidR="00C939DA" w:rsidRPr="0029633E">
        <w:rPr>
          <w:i/>
        </w:rPr>
        <w:t>Aiba</w:t>
      </w:r>
      <w:proofErr w:type="spellEnd"/>
      <w:r w:rsidR="00C939DA" w:rsidRPr="0029633E">
        <w:rPr>
          <w:i/>
        </w:rPr>
        <w:t xml:space="preserve"> v. Vipan Kumar Sharma</w:t>
      </w:r>
      <w:r w:rsidR="00C939DA" w:rsidRPr="00F00FAC">
        <w:t xml:space="preserve"> (“</w:t>
      </w:r>
      <w:r w:rsidR="00C939DA" w:rsidRPr="0029633E">
        <w:rPr>
          <w:b/>
          <w:bCs/>
          <w:i/>
          <w:iCs/>
        </w:rPr>
        <w:t>Toshiaki</w:t>
      </w:r>
      <w:r w:rsidR="00C939DA" w:rsidRPr="00F00FAC">
        <w:t>”)</w:t>
      </w:r>
      <w:r w:rsidR="00C939DA">
        <w:t>.</w:t>
      </w:r>
      <w:r w:rsidR="00C939DA" w:rsidRPr="00F00FAC">
        <w:rPr>
          <w:rStyle w:val="FootnoteReference"/>
        </w:rPr>
        <w:footnoteReference w:id="5"/>
      </w:r>
      <w:r w:rsidR="00C939DA" w:rsidRPr="00F00FAC">
        <w:t xml:space="preserve"> </w:t>
      </w:r>
      <w:r w:rsidR="00C939DA">
        <w:t xml:space="preserve">There, the Delhi High Court allowed a Japanese bankruptcy trustee’s suit seeking recognition of his authority over the debtor’s Indian assets. </w:t>
      </w:r>
      <w:r w:rsidR="00C939DA" w:rsidRPr="009B1329">
        <w:t>The trustee sought, among other things: (a) a declaration recognising his right to administer and realise the debtor’s assets in India; and (b) injunctive relief restraining the debtor from dealing with those assets.</w:t>
      </w:r>
      <w:r w:rsidR="00C939DA" w:rsidRPr="00C939DA">
        <w:t xml:space="preserve"> </w:t>
      </w:r>
    </w:p>
    <w:p w14:paraId="7F7AD8DE" w14:textId="58800F61" w:rsidR="00C939DA" w:rsidRDefault="00C939DA" w:rsidP="006B0246">
      <w:pPr>
        <w:pStyle w:val="decree"/>
        <w:spacing w:before="120" w:after="120"/>
      </w:pPr>
      <w:r w:rsidRPr="00F00FAC">
        <w:t>The Telangana High Court</w:t>
      </w:r>
      <w:r w:rsidR="0029633E">
        <w:t>’s decision</w:t>
      </w:r>
      <w:r w:rsidRPr="00F00FAC">
        <w:t xml:space="preserve"> in </w:t>
      </w:r>
      <w:r w:rsidRPr="0029633E">
        <w:rPr>
          <w:i/>
          <w:iCs/>
        </w:rPr>
        <w:t xml:space="preserve">Mahmood Hussain Khan v. Madame </w:t>
      </w:r>
      <w:proofErr w:type="spellStart"/>
      <w:r w:rsidRPr="0029633E">
        <w:rPr>
          <w:i/>
          <w:iCs/>
        </w:rPr>
        <w:t>Canisia</w:t>
      </w:r>
      <w:proofErr w:type="spellEnd"/>
      <w:r w:rsidRPr="0029633E">
        <w:rPr>
          <w:i/>
          <w:iCs/>
        </w:rPr>
        <w:t xml:space="preserve"> </w:t>
      </w:r>
      <w:proofErr w:type="spellStart"/>
      <w:r w:rsidRPr="0029633E">
        <w:rPr>
          <w:i/>
          <w:iCs/>
        </w:rPr>
        <w:t>Ceizar</w:t>
      </w:r>
      <w:proofErr w:type="spellEnd"/>
      <w:r w:rsidRPr="0029633E">
        <w:rPr>
          <w:rStyle w:val="FootnoteReference"/>
        </w:rPr>
        <w:footnoteReference w:id="6"/>
      </w:r>
      <w:r w:rsidR="0029633E" w:rsidRPr="0029633E">
        <w:t xml:space="preserve"> is also supportive.</w:t>
      </w:r>
      <w:r w:rsidRPr="00F00FAC">
        <w:t xml:space="preserve"> </w:t>
      </w:r>
      <w:r w:rsidRPr="00967BD9">
        <w:t>There, a Swiss bankruptcy process led to an auction of the debtor’s share in Indian property. The plaintiff then filed a suit in India based on the Swiss sale certificate</w:t>
      </w:r>
      <w:r>
        <w:t>, again relying on Section 13 CPC</w:t>
      </w:r>
      <w:r w:rsidRPr="00967BD9">
        <w:t xml:space="preserve">. The Indian court granted relief by recognising the Swiss sale certificate as a conclusive foreign judgment. On appeal, the High Court affirmed the finding that the sale certificate </w:t>
      </w:r>
      <w:r w:rsidRPr="00F00FAC">
        <w:t>was a conclusive foreign judgment capable of execution in India</w:t>
      </w:r>
      <w:r>
        <w:t>.</w:t>
      </w:r>
    </w:p>
    <w:p w14:paraId="11AD5286" w14:textId="77777777" w:rsidR="00BD505D" w:rsidRPr="006D53CB" w:rsidRDefault="00BD505D" w:rsidP="006B0246">
      <w:pPr>
        <w:pStyle w:val="ListParagraph"/>
        <w:widowControl w:val="0"/>
        <w:numPr>
          <w:ilvl w:val="0"/>
          <w:numId w:val="3"/>
        </w:numPr>
        <w:contextualSpacing w:val="0"/>
        <w:rPr>
          <w14:ligatures w14:val="standardContextual"/>
        </w:rPr>
      </w:pPr>
      <w:r w:rsidRPr="006D53CB">
        <w:t>These decisions support the position that a bankruptcy order, or an order passed in bankruptcy proceedings, may be recognised or given effect to in India where an Indian court determines that the decision is conclusive under Section 13 of the CPC.</w:t>
      </w:r>
      <w:r w:rsidRPr="00F00FAC">
        <w:t xml:space="preserve"> </w:t>
      </w:r>
    </w:p>
    <w:p w14:paraId="4143A5DD" w14:textId="79AAB8DB" w:rsidR="00BD505D" w:rsidRDefault="00BD505D" w:rsidP="006B0246">
      <w:pPr>
        <w:pStyle w:val="ListParagraph"/>
        <w:widowControl w:val="0"/>
        <w:numPr>
          <w:ilvl w:val="0"/>
          <w:numId w:val="3"/>
        </w:numPr>
        <w:contextualSpacing w:val="0"/>
        <w:rPr>
          <w14:ligatures w14:val="standardContextual"/>
        </w:rPr>
      </w:pPr>
      <w:r w:rsidRPr="00967BD9">
        <w:rPr>
          <w14:ligatures w14:val="standardContextual"/>
        </w:rPr>
        <w:t xml:space="preserve">Applying the same approach, the Receiver may file a fresh civil suit before a competent Indian court. In that suit, the Receiver may seek recognition of her authority under the Moscow Bankruptcy </w:t>
      </w:r>
      <w:r w:rsidR="0029633E">
        <w:rPr>
          <w14:ligatures w14:val="standardContextual"/>
        </w:rPr>
        <w:t>Order</w:t>
      </w:r>
      <w:r w:rsidRPr="00967BD9">
        <w:rPr>
          <w14:ligatures w14:val="standardContextual"/>
        </w:rPr>
        <w:t xml:space="preserve"> and protective relief in relation to the Guarantor’s assets in India. </w:t>
      </w:r>
      <w:r>
        <w:rPr>
          <w14:ligatures w14:val="standardContextual"/>
        </w:rPr>
        <w:t>This</w:t>
      </w:r>
      <w:r w:rsidRPr="00967BD9">
        <w:rPr>
          <w14:ligatures w14:val="standardContextual"/>
        </w:rPr>
        <w:t xml:space="preserve"> would be recognition through an Indian court order, after the Indian court is satisfied that the relevant Russian decision meets the requirements of Indian law.</w:t>
      </w:r>
    </w:p>
    <w:p w14:paraId="53EFA33C" w14:textId="26307FFB" w:rsidR="000D27A7" w:rsidRPr="00F00FAC" w:rsidRDefault="001425BF" w:rsidP="006B0246">
      <w:pPr>
        <w:pStyle w:val="Heading2"/>
      </w:pPr>
      <w:r w:rsidRPr="001425BF">
        <w:t xml:space="preserve">Asset search, interim protection and </w:t>
      </w:r>
      <w:r>
        <w:t>execution</w:t>
      </w:r>
      <w:r w:rsidRPr="001425BF">
        <w:t xml:space="preserve"> in India</w:t>
      </w:r>
    </w:p>
    <w:p w14:paraId="7DB84A3B" w14:textId="7AE1F537" w:rsidR="001425BF" w:rsidRDefault="001425BF" w:rsidP="006B0246">
      <w:pPr>
        <w:pStyle w:val="decree"/>
        <w:spacing w:before="120" w:after="120"/>
      </w:pPr>
      <w:r>
        <w:t>At the pre-action stage, assistance from Indian courts or government agencies is unavailable. Indian courts do not conduct asset searches before proceedings are filed, and Indian government agencies do not ordinarily trace or recover assets on behalf of private creditors or foreign bankruptcy trustees.</w:t>
      </w:r>
    </w:p>
    <w:p w14:paraId="02122A51" w14:textId="1CEB5770" w:rsidR="001425BF" w:rsidRDefault="001425BF" w:rsidP="006B0246">
      <w:pPr>
        <w:pStyle w:val="decree"/>
        <w:spacing w:before="120" w:after="120"/>
      </w:pPr>
      <w:r>
        <w:lastRenderedPageBreak/>
        <w:t>GPB / the Receiver would therefore need to begin with an asset investigation based on public searches and targeted enquiries. India is information-rich, and Singularity is well-placed to conduct asset investigations using public records and appropriate discreet enquiries. This is discussed further in Question 2 below.</w:t>
      </w:r>
    </w:p>
    <w:p w14:paraId="318CBF6F" w14:textId="26007700" w:rsidR="001425BF" w:rsidRDefault="001425BF" w:rsidP="006B0246">
      <w:pPr>
        <w:pStyle w:val="decree"/>
        <w:spacing w:before="120" w:after="120"/>
      </w:pPr>
      <w:r w:rsidRPr="001425BF">
        <w:t>Once Indian proceedings are filed, Indian court</w:t>
      </w:r>
      <w:r>
        <w:t>s</w:t>
      </w:r>
      <w:r w:rsidRPr="001425BF">
        <w:t xml:space="preserve"> can provide meaningful assistance by preserving identified assets, restraining transfers, requiring limited disclosure, and issuing directions to banks, companies, depositories, land registries or other third parties.</w:t>
      </w:r>
    </w:p>
    <w:p w14:paraId="6B545C2E" w14:textId="77777777" w:rsidR="001425BF" w:rsidRDefault="001425BF" w:rsidP="006B0246">
      <w:pPr>
        <w:pStyle w:val="decree"/>
        <w:spacing w:before="120" w:after="120"/>
      </w:pPr>
      <w:r>
        <w:t>Interim measures should be central to the Indian strategy. Indian litigation can be long drawn, even where the claim is strong and well-supported. The suit should therefore be filed with urgent interim applications from the outset, so that identified assets are preserved while the court determines the final relief.</w:t>
      </w:r>
    </w:p>
    <w:p w14:paraId="1BC1A7F3" w14:textId="501DF466" w:rsidR="001425BF" w:rsidRDefault="001425BF" w:rsidP="006B0246">
      <w:pPr>
        <w:pStyle w:val="decree"/>
        <w:spacing w:before="120" w:after="120"/>
      </w:pPr>
      <w:r>
        <w:t xml:space="preserve">These measures are not automatic. Depending on the relief sought, the court will expect GPB / the Receiver to show a </w:t>
      </w:r>
      <w:r w:rsidRPr="001425BF">
        <w:rPr>
          <w:i/>
          <w:iCs/>
        </w:rPr>
        <w:t>prima facie</w:t>
      </w:r>
      <w:r>
        <w:t xml:space="preserve"> case, a need for protection, and a risk that assets may be dissipated or enforcement may be defeated if relief is not granted.</w:t>
      </w:r>
    </w:p>
    <w:p w14:paraId="32EB078E" w14:textId="5A2077AF" w:rsidR="001425BF" w:rsidRDefault="001425BF" w:rsidP="006B0246">
      <w:pPr>
        <w:pStyle w:val="decree"/>
        <w:spacing w:before="120" w:after="120"/>
      </w:pPr>
      <w:r w:rsidRPr="001425BF">
        <w:t xml:space="preserve">Indian courts routinely grant ad-interim relief in appropriate cases. This is a prompt, short-term court order, often granted before the other side is heard, to preserve assets and prevent prejudice. </w:t>
      </w:r>
      <w:r w:rsidR="002C124B" w:rsidRPr="004522B7">
        <w:t xml:space="preserve">It </w:t>
      </w:r>
      <w:r w:rsidR="002C124B">
        <w:t xml:space="preserve">typically </w:t>
      </w:r>
      <w:r w:rsidR="002C124B" w:rsidRPr="004522B7">
        <w:t>lasts until the court hears the regular application</w:t>
      </w:r>
      <w:r w:rsidR="002C124B">
        <w:t xml:space="preserve"> for interim relief but can be extended even into appeal</w:t>
      </w:r>
      <w:r w:rsidR="002C124B" w:rsidRPr="004522B7">
        <w:t>.</w:t>
      </w:r>
      <w:r w:rsidR="002C124B">
        <w:t xml:space="preserve"> </w:t>
      </w:r>
      <w:r w:rsidRPr="001425BF">
        <w:t xml:space="preserve">In the </w:t>
      </w:r>
      <w:proofErr w:type="spellStart"/>
      <w:r w:rsidRPr="001425BF">
        <w:t>EuroChem</w:t>
      </w:r>
      <w:proofErr w:type="spellEnd"/>
      <w:r w:rsidRPr="001425BF">
        <w:t xml:space="preserve"> Proceedings, Singularity obtained ad-interim protection by way of an undertaking from the defendant to maintain </w:t>
      </w:r>
      <w:r w:rsidRPr="001425BF">
        <w:rPr>
          <w:i/>
          <w:iCs/>
        </w:rPr>
        <w:t>status quo</w:t>
      </w:r>
      <w:r w:rsidRPr="001425BF">
        <w:t xml:space="preserve"> in respect of its Indian assets, pending determination of the application</w:t>
      </w:r>
      <w:r>
        <w:t xml:space="preserve"> for inter</w:t>
      </w:r>
      <w:r w:rsidR="002C124B">
        <w:t>im relief</w:t>
      </w:r>
      <w:r w:rsidRPr="001425BF">
        <w:t xml:space="preserve"> and the ongoing appeal.</w:t>
      </w:r>
    </w:p>
    <w:p w14:paraId="62908F11" w14:textId="77777777" w:rsidR="002C124B" w:rsidRPr="00F00FAC" w:rsidRDefault="002C124B" w:rsidP="006B0246">
      <w:pPr>
        <w:pStyle w:val="decree"/>
        <w:spacing w:before="120" w:after="120"/>
        <w:rPr>
          <w:lang w:val="en-IN" w:eastAsia="en-IN"/>
        </w:rPr>
      </w:pPr>
      <w:r w:rsidRPr="002C124B">
        <w:rPr>
          <w:lang w:val="en-IN" w:eastAsia="en-IN"/>
        </w:rPr>
        <w:t>The main interim measures are:</w:t>
      </w:r>
    </w:p>
    <w:p w14:paraId="5ECD744A" w14:textId="3157647E" w:rsidR="002C124B" w:rsidRPr="00F00FAC" w:rsidRDefault="002C124B" w:rsidP="006B0246">
      <w:pPr>
        <w:pStyle w:val="ListParagraph"/>
        <w:widowControl w:val="0"/>
        <w:numPr>
          <w:ilvl w:val="1"/>
          <w:numId w:val="3"/>
        </w:numPr>
        <w:contextualSpacing w:val="0"/>
      </w:pPr>
      <w:r w:rsidRPr="002C124B">
        <w:t>attachment before judgment, where there is a credible risk that the Guarantor may dispose of assets to obstruct or delay enforcement</w:t>
      </w:r>
      <w:r>
        <w:t xml:space="preserve"> </w:t>
      </w:r>
      <w:r w:rsidRPr="00F00FAC">
        <w:t>of any decree that may be passed</w:t>
      </w:r>
      <w:r w:rsidRPr="002C124B">
        <w:t>;</w:t>
      </w:r>
      <w:r>
        <w:rPr>
          <w:rStyle w:val="FootnoteReference"/>
        </w:rPr>
        <w:footnoteReference w:id="7"/>
      </w:r>
      <w:r w:rsidRPr="00F00FAC">
        <w:t xml:space="preserve"> </w:t>
      </w:r>
    </w:p>
    <w:p w14:paraId="0AF3110E" w14:textId="77777777" w:rsidR="002C124B" w:rsidRPr="00F00FAC" w:rsidRDefault="002C124B" w:rsidP="006B0246">
      <w:pPr>
        <w:pStyle w:val="ListParagraph"/>
        <w:widowControl w:val="0"/>
        <w:numPr>
          <w:ilvl w:val="1"/>
          <w:numId w:val="3"/>
        </w:numPr>
        <w:contextualSpacing w:val="0"/>
      </w:pPr>
      <w:r w:rsidRPr="002C124B">
        <w:t xml:space="preserve">temporary injunctions restraining the Guarantor from transferring, encumbering or otherwise dealing with his assets </w:t>
      </w:r>
      <w:r w:rsidRPr="004522B7">
        <w:t>that could prejudice creditors, such as GPB</w:t>
      </w:r>
      <w:r w:rsidRPr="002C124B">
        <w:t>;</w:t>
      </w:r>
      <w:r w:rsidRPr="002C124B">
        <w:rPr>
          <w:rStyle w:val="FootnoteReference"/>
        </w:rPr>
        <w:footnoteReference w:id="8"/>
      </w:r>
      <w:r>
        <w:rPr>
          <w:u w:val="single"/>
        </w:rPr>
        <w:t xml:space="preserve"> </w:t>
      </w:r>
    </w:p>
    <w:p w14:paraId="11D32E45" w14:textId="77777777" w:rsidR="00FB1862" w:rsidRDefault="002C124B" w:rsidP="006B0246">
      <w:pPr>
        <w:pStyle w:val="ListParagraph"/>
        <w:widowControl w:val="0"/>
        <w:numPr>
          <w:ilvl w:val="1"/>
          <w:numId w:val="3"/>
        </w:numPr>
        <w:contextualSpacing w:val="0"/>
      </w:pPr>
      <w:r w:rsidRPr="002C124B">
        <w:t>appointment of a receiver, where independent custody or management of assets is necessary during the suit</w:t>
      </w:r>
      <w:r>
        <w:t xml:space="preserve"> – t</w:t>
      </w:r>
      <w:r w:rsidRPr="002C124B">
        <w:t>his provides independent</w:t>
      </w:r>
      <w:r w:rsidRPr="00F00FAC">
        <w:t xml:space="preserve"> custody and prevents dissipation during the pendency of the suit</w:t>
      </w:r>
      <w:r w:rsidR="00FB1862">
        <w:t>;</w:t>
      </w:r>
      <w:r w:rsidRPr="00F00FAC">
        <w:rPr>
          <w:rStyle w:val="FootnoteReference"/>
        </w:rPr>
        <w:footnoteReference w:id="9"/>
      </w:r>
      <w:r w:rsidR="00FB1862">
        <w:t xml:space="preserve"> and</w:t>
      </w:r>
    </w:p>
    <w:p w14:paraId="29E1F538" w14:textId="77E6FD19" w:rsidR="002C124B" w:rsidRDefault="00FB1862" w:rsidP="006B0246">
      <w:pPr>
        <w:pStyle w:val="ListParagraph"/>
        <w:widowControl w:val="0"/>
        <w:numPr>
          <w:ilvl w:val="1"/>
          <w:numId w:val="3"/>
        </w:numPr>
        <w:contextualSpacing w:val="0"/>
      </w:pPr>
      <w:r w:rsidRPr="00F00FAC">
        <w:t>disclos</w:t>
      </w:r>
      <w:r>
        <w:t>ure orders</w:t>
      </w:r>
      <w:r w:rsidRPr="00F00FAC">
        <w:t xml:space="preserve"> limited information (</w:t>
      </w:r>
      <w:r w:rsidRPr="00F00FAC">
        <w:rPr>
          <w:i/>
          <w:iCs/>
        </w:rPr>
        <w:t>e.g.</w:t>
      </w:r>
      <w:r w:rsidRPr="00F00FAC">
        <w:t>, the specific account or depository details needed to give effect to the restraint)</w:t>
      </w:r>
      <w:r>
        <w:t>, t</w:t>
      </w:r>
      <w:r w:rsidRPr="00F00FAC">
        <w:t xml:space="preserve">o make </w:t>
      </w:r>
      <w:r>
        <w:t>asset-preservation</w:t>
      </w:r>
      <w:r w:rsidRPr="00F00FAC">
        <w:t xml:space="preserve"> orders effective.</w:t>
      </w:r>
      <w:r w:rsidRPr="00F00FAC">
        <w:rPr>
          <w:rStyle w:val="FootnoteReference"/>
        </w:rPr>
        <w:footnoteReference w:id="10"/>
      </w:r>
    </w:p>
    <w:p w14:paraId="63974E5E" w14:textId="5F4F1B14" w:rsidR="00FB1862" w:rsidRDefault="002C124B" w:rsidP="006B0246">
      <w:pPr>
        <w:pStyle w:val="decree"/>
        <w:spacing w:before="120" w:after="120"/>
      </w:pPr>
      <w:r w:rsidRPr="002C124B">
        <w:t xml:space="preserve">After an Indian decree or recognition order is obtained, enforcement would proceed through the Indian court process. </w:t>
      </w:r>
      <w:r w:rsidR="00FB1862">
        <w:t>T</w:t>
      </w:r>
      <w:r w:rsidR="00FB1862" w:rsidRPr="00F00FAC">
        <w:t>he court may examine the Guarantor as to his assets and means and require an affidavit of assets if payment is not made within thirty days.</w:t>
      </w:r>
      <w:r w:rsidR="00FB1862">
        <w:rPr>
          <w:rStyle w:val="FootnoteReference"/>
        </w:rPr>
        <w:footnoteReference w:id="11"/>
      </w:r>
      <w:r w:rsidR="00FB1862" w:rsidRPr="00F00FAC">
        <w:t xml:space="preserve"> </w:t>
      </w:r>
      <w:r w:rsidRPr="002C124B">
        <w:t xml:space="preserve">Post-decree execution may include attachment and sale of property, </w:t>
      </w:r>
      <w:r w:rsidRPr="002C124B">
        <w:lastRenderedPageBreak/>
        <w:t>garnishee orders over debts or bank accounts, directions to companies or depositories in relation to shares or securities, and other execution measures against identified assets.</w:t>
      </w:r>
      <w:r w:rsidR="005B2A3F">
        <w:rPr>
          <w:rStyle w:val="FootnoteReference"/>
        </w:rPr>
        <w:footnoteReference w:id="12"/>
      </w:r>
      <w:r w:rsidRPr="002C124B">
        <w:t xml:space="preserve"> </w:t>
      </w:r>
      <w:r w:rsidR="00FB1862" w:rsidRPr="00F00FAC">
        <w:t>Following the attachment, the court may hold a public sale and apply the proceeds towards satisfaction of the decree.</w:t>
      </w:r>
      <w:r w:rsidR="00FB1862" w:rsidRPr="00F00FAC">
        <w:rPr>
          <w:rStyle w:val="FootnoteReference"/>
        </w:rPr>
        <w:footnoteReference w:id="13"/>
      </w:r>
      <w:r w:rsidR="00FB1862" w:rsidRPr="00F00FAC">
        <w:t xml:space="preserve"> </w:t>
      </w:r>
      <w:r w:rsidRPr="002C124B">
        <w:t>At th</w:t>
      </w:r>
      <w:r w:rsidR="00FB1862">
        <w:t xml:space="preserve">e </w:t>
      </w:r>
      <w:r w:rsidR="00CE4353">
        <w:t>execution</w:t>
      </w:r>
      <w:r w:rsidRPr="002C124B">
        <w:t xml:space="preserve"> stage, public authorities and third parties may be required to act, but only through the court process.</w:t>
      </w:r>
      <w:r w:rsidR="00FB1862">
        <w:t xml:space="preserve"> </w:t>
      </w:r>
    </w:p>
    <w:p w14:paraId="71B4F404" w14:textId="6DD88F65" w:rsidR="00930B85" w:rsidRPr="00F00FAC" w:rsidRDefault="00930B85" w:rsidP="006B0246">
      <w:pPr>
        <w:pStyle w:val="decree"/>
        <w:spacing w:before="120" w:after="120"/>
      </w:pPr>
      <w:r>
        <w:t>Accordingly, the practical sequence would be: first, identify assets through public searches and enquiries; second, file the Indian suit with urgent interim applications to preserve those assets; third, seek disclosure or third-party directions where necessary; and fourth, after obtaining an Indian decree or recognition order, proceed to court-supervised execution against the assets.</w:t>
      </w:r>
    </w:p>
    <w:p w14:paraId="736B7B21" w14:textId="44E03B31" w:rsidR="004522B7" w:rsidRPr="00992D6F" w:rsidRDefault="004522B7" w:rsidP="006B0246">
      <w:pPr>
        <w:pStyle w:val="Heading2"/>
      </w:pPr>
      <w:r>
        <w:t xml:space="preserve">Jurisdiction and </w:t>
      </w:r>
      <w:r w:rsidR="00064D0E">
        <w:t>practical considerations</w:t>
      </w:r>
    </w:p>
    <w:p w14:paraId="0EAB3C51" w14:textId="678EA4C3" w:rsidR="00064D0E" w:rsidRDefault="00064D0E" w:rsidP="006B0246">
      <w:pPr>
        <w:pStyle w:val="decree"/>
        <w:spacing w:before="120" w:after="120"/>
      </w:pPr>
      <w:r w:rsidRPr="00064D0E">
        <w:rPr>
          <w:b/>
          <w:bCs/>
        </w:rPr>
        <w:t>Appropriate forum:</w:t>
      </w:r>
      <w:r>
        <w:t xml:space="preserve"> </w:t>
      </w:r>
      <w:r w:rsidRPr="00064D0E">
        <w:t>The appropriate Indian court will depend on the Guarantor’s residence, the location of assets, the relief sought, and the value of the claim or assets.</w:t>
      </w:r>
      <w:r w:rsidRPr="00064D0E">
        <w:rPr>
          <w:rStyle w:val="FootnoteReference"/>
        </w:rPr>
        <w:t xml:space="preserve"> </w:t>
      </w:r>
      <w:r w:rsidRPr="00F00FAC">
        <w:rPr>
          <w:rStyle w:val="FootnoteReference"/>
        </w:rPr>
        <w:footnoteReference w:id="14"/>
      </w:r>
      <w:r w:rsidRPr="00064D0E">
        <w:t xml:space="preserve"> If the Guarantor’s Delhi address is confirmed as his residence, Delhi courts are likely to have territorial jurisdiction. This would be useful because </w:t>
      </w:r>
      <w:r w:rsidRPr="00064D0E">
        <w:rPr>
          <w:i/>
          <w:iCs/>
        </w:rPr>
        <w:t>Toshiaki</w:t>
      </w:r>
      <w:r w:rsidRPr="00064D0E">
        <w:t>, the closest Indian authority on recognition of a foreign bankruptcy trustee’s powers, is a decision of the Delhi High Court.</w:t>
      </w:r>
    </w:p>
    <w:p w14:paraId="75F052F4" w14:textId="4C3D731D" w:rsidR="00064D0E" w:rsidRDefault="005B2A3F" w:rsidP="006B0246">
      <w:pPr>
        <w:pStyle w:val="decree"/>
        <w:spacing w:before="120" w:after="120"/>
      </w:pPr>
      <w:r>
        <w:t>Additionally, if GPB / the Receiver identifies assets that</w:t>
      </w:r>
      <w:r w:rsidRPr="005B2A3F">
        <w:t xml:space="preserve"> form part of the bankruptcy estate under </w:t>
      </w:r>
      <w:r>
        <w:t>Russian</w:t>
      </w:r>
      <w:r w:rsidRPr="005B2A3F">
        <w:t xml:space="preserve"> law</w:t>
      </w:r>
      <w:r>
        <w:t xml:space="preserve"> in a stronger or more practical jurisdiction, </w:t>
      </w:r>
      <w:r w:rsidRPr="005B2A3F">
        <w:t>the suit may be framed to seek relief in relation to those assets</w:t>
      </w:r>
      <w:r>
        <w:t>.</w:t>
      </w:r>
      <w:r>
        <w:rPr>
          <w:rStyle w:val="FootnoteReference"/>
        </w:rPr>
        <w:footnoteReference w:id="15"/>
      </w:r>
      <w:r w:rsidR="00064D0E">
        <w:t xml:space="preserve"> </w:t>
      </w:r>
      <w:r w:rsidR="00064D0E" w:rsidRPr="00064D0E">
        <w:t>The forum should therefore be confirmed after the initial asset investigation.</w:t>
      </w:r>
    </w:p>
    <w:p w14:paraId="1A7DF9A4" w14:textId="7EC5C12F" w:rsidR="005B2A3F" w:rsidRDefault="00064D0E" w:rsidP="006B0246">
      <w:pPr>
        <w:pStyle w:val="decree"/>
        <w:spacing w:before="120" w:after="120"/>
      </w:pPr>
      <w:r w:rsidRPr="00064D0E">
        <w:t>Pecuniary jurisdiction will depend on the value of the claim or the assets over which relief is sought. In Delhi, suits valued above INR 2,00,00,000</w:t>
      </w:r>
      <w:r>
        <w:t xml:space="preserve"> (approx.</w:t>
      </w:r>
      <w:r w:rsidRPr="00064D0E">
        <w:t xml:space="preserve"> RUB 16.2 million</w:t>
      </w:r>
      <w:r>
        <w:t>)</w:t>
      </w:r>
      <w:r w:rsidRPr="00064D0E">
        <w:t>, lie before the Delhi High Court in its ordinary original civil jurisdiction.</w:t>
      </w:r>
      <w:r w:rsidRPr="00F00FAC">
        <w:rPr>
          <w:rStyle w:val="FootnoteReference"/>
        </w:rPr>
        <w:footnoteReference w:id="16"/>
      </w:r>
      <w:r w:rsidRPr="00082743">
        <w:t xml:space="preserve"> </w:t>
      </w:r>
      <w:r w:rsidRPr="00064D0E">
        <w:t xml:space="preserve"> The </w:t>
      </w:r>
      <w:proofErr w:type="spellStart"/>
      <w:r w:rsidRPr="00064D0E">
        <w:t>Kempartners</w:t>
      </w:r>
      <w:proofErr w:type="spellEnd"/>
      <w:r w:rsidRPr="00064D0E">
        <w:t xml:space="preserve"> Judgment is well above this threshold. For a Receiver-led recognition action based on the Moscow Bankruptcy Order, the forum will depend on how the suit is valued, including by reference to the value of the Indian assets sought to be administered or protected.</w:t>
      </w:r>
    </w:p>
    <w:p w14:paraId="123F075D" w14:textId="52C7EBBE" w:rsidR="004522B7" w:rsidRDefault="00064D0E" w:rsidP="006B0246">
      <w:pPr>
        <w:pStyle w:val="decree"/>
        <w:spacing w:before="120" w:after="120"/>
      </w:pPr>
      <w:r>
        <w:rPr>
          <w:b/>
          <w:bCs/>
        </w:rPr>
        <w:t>S</w:t>
      </w:r>
      <w:r w:rsidR="004522B7" w:rsidRPr="00082743">
        <w:rPr>
          <w:b/>
          <w:bCs/>
        </w:rPr>
        <w:t>uit classification:</w:t>
      </w:r>
      <w:r>
        <w:rPr>
          <w:b/>
          <w:bCs/>
        </w:rPr>
        <w:t xml:space="preserve"> </w:t>
      </w:r>
      <w:r w:rsidRPr="00064D0E">
        <w:t>T</w:t>
      </w:r>
      <w:r w:rsidR="004522B7" w:rsidRPr="00082743">
        <w:t>he suit is likely to qualify as a “commercial dispute” under the Commercial Courts Act, 2015.</w:t>
      </w:r>
      <w:r w:rsidRPr="00F00FAC">
        <w:rPr>
          <w:rStyle w:val="FootnoteReference"/>
        </w:rPr>
        <w:footnoteReference w:id="17"/>
      </w:r>
      <w:r>
        <w:t xml:space="preserve"> </w:t>
      </w:r>
      <w:r w:rsidR="004522B7" w:rsidRPr="00082743">
        <w:t xml:space="preserve">This is a special Indian statute which provides a </w:t>
      </w:r>
      <w:r w:rsidR="004522B7">
        <w:t>streamlined</w:t>
      </w:r>
      <w:r w:rsidR="004522B7" w:rsidRPr="00082743">
        <w:t xml:space="preserve"> procedure for commercial disputes</w:t>
      </w:r>
      <w:r>
        <w:t xml:space="preserve"> and such suits are</w:t>
      </w:r>
      <w:r w:rsidRPr="00C81E35">
        <w:t xml:space="preserve"> subject to stricter timelines, case management hearings, and the possibility of summary judgment where the defendant has no real prospect of successfully defending the claim. Pre-institution mediation may apply unless the plaintiff seeks urgent interim relief.</w:t>
      </w:r>
      <w:r w:rsidRPr="00F00FAC">
        <w:rPr>
          <w:rStyle w:val="FootnoteReference"/>
        </w:rPr>
        <w:footnoteReference w:id="18"/>
      </w:r>
    </w:p>
    <w:p w14:paraId="180C298A" w14:textId="1FBF4B90" w:rsidR="004522B7" w:rsidRDefault="004522B7" w:rsidP="006B0246">
      <w:pPr>
        <w:pStyle w:val="ListParagraph"/>
        <w:widowControl w:val="0"/>
        <w:numPr>
          <w:ilvl w:val="0"/>
          <w:numId w:val="3"/>
        </w:numPr>
        <w:contextualSpacing w:val="0"/>
      </w:pPr>
      <w:r>
        <w:rPr>
          <w:b/>
          <w:bCs/>
        </w:rPr>
        <w:t>Practical considerations</w:t>
      </w:r>
      <w:r w:rsidRPr="00F00FAC">
        <w:t xml:space="preserve">: </w:t>
      </w:r>
      <w:r w:rsidR="00064D0E" w:rsidRPr="00064D0E">
        <w:t xml:space="preserve">From a filing perspective, </w:t>
      </w:r>
      <w:r w:rsidR="00064D0E">
        <w:t>b</w:t>
      </w:r>
      <w:r w:rsidR="00064D0E" w:rsidRPr="0045617B">
        <w:t>ased on our experience</w:t>
      </w:r>
      <w:r w:rsidR="00064D0E">
        <w:t>,</w:t>
      </w:r>
      <w:r w:rsidR="00064D0E" w:rsidRPr="0045617B">
        <w:t xml:space="preserve"> </w:t>
      </w:r>
      <w:r w:rsidR="00064D0E" w:rsidRPr="00064D0E">
        <w:t xml:space="preserve">the main requirements will </w:t>
      </w:r>
      <w:proofErr w:type="gramStart"/>
      <w:r w:rsidR="00064D0E" w:rsidRPr="00064D0E">
        <w:t>be:</w:t>
      </w:r>
      <w:proofErr w:type="gramEnd"/>
      <w:r w:rsidR="00064D0E" w:rsidRPr="00064D0E">
        <w:t xml:space="preserve"> </w:t>
      </w:r>
      <w:r w:rsidR="00064D0E" w:rsidRPr="00064D0E">
        <w:lastRenderedPageBreak/>
        <w:t xml:space="preserve">apostilled Russian court documents; certified English translations; and proper authority for the person signing pleadings, affidavits and powers of attorney. </w:t>
      </w:r>
    </w:p>
    <w:p w14:paraId="7BAEFCBE" w14:textId="5BD588F4" w:rsidR="004522B7" w:rsidRDefault="004522B7" w:rsidP="006B0246">
      <w:pPr>
        <w:pStyle w:val="ListParagraph"/>
        <w:widowControl w:val="0"/>
        <w:numPr>
          <w:ilvl w:val="1"/>
          <w:numId w:val="3"/>
        </w:numPr>
        <w:contextualSpacing w:val="0"/>
      </w:pPr>
      <w:r w:rsidRPr="0045617B">
        <w:t>Since both India and Russia are parties to the Hague Apostille Convention, Russian court documents and other Russian public documents intended to be relied upon in Indian proceedings would generally need to be apostilled.</w:t>
      </w:r>
      <w:r w:rsidR="00064D0E">
        <w:t xml:space="preserve"> </w:t>
      </w:r>
    </w:p>
    <w:p w14:paraId="0323018F" w14:textId="094CAED6" w:rsidR="004522B7" w:rsidRDefault="004522B7" w:rsidP="006B0246">
      <w:pPr>
        <w:pStyle w:val="ListParagraph"/>
        <w:widowControl w:val="0"/>
        <w:numPr>
          <w:ilvl w:val="1"/>
          <w:numId w:val="3"/>
        </w:numPr>
        <w:contextualSpacing w:val="0"/>
      </w:pPr>
      <w:r w:rsidRPr="0045617B">
        <w:t>All documents relied upon would also need to be translated into English through a certified translation.</w:t>
      </w:r>
      <w:r w:rsidR="00FB1862">
        <w:t xml:space="preserve"> </w:t>
      </w:r>
      <w:r w:rsidR="00FB1862" w:rsidRPr="00FB1862">
        <w:t>Translation and certification requirements vary by court.</w:t>
      </w:r>
      <w:r w:rsidR="00064D0E">
        <w:rPr>
          <w:rStyle w:val="FootnoteReference"/>
        </w:rPr>
        <w:footnoteReference w:id="19"/>
      </w:r>
      <w:r>
        <w:t xml:space="preserve"> </w:t>
      </w:r>
    </w:p>
    <w:p w14:paraId="70FF7A3A" w14:textId="347269A3" w:rsidR="004522B7" w:rsidRDefault="00FB1862" w:rsidP="006B0246">
      <w:pPr>
        <w:pStyle w:val="ListParagraph"/>
        <w:widowControl w:val="0"/>
        <w:numPr>
          <w:ilvl w:val="1"/>
          <w:numId w:val="3"/>
        </w:numPr>
        <w:contextualSpacing w:val="0"/>
      </w:pPr>
      <w:r w:rsidRPr="00FB1862">
        <w:rPr>
          <w:lang w:val="en-IN" w:eastAsia="en-IN"/>
        </w:rPr>
        <w:t xml:space="preserve">The plaint, applications, affidavits, </w:t>
      </w:r>
      <w:proofErr w:type="spellStart"/>
      <w:r w:rsidRPr="00FB1862">
        <w:rPr>
          <w:lang w:val="en-IN" w:eastAsia="en-IN"/>
        </w:rPr>
        <w:t>vakalatnama</w:t>
      </w:r>
      <w:proofErr w:type="spellEnd"/>
      <w:r w:rsidRPr="00FB1862">
        <w:rPr>
          <w:lang w:val="en-IN" w:eastAsia="en-IN"/>
        </w:rPr>
        <w:t xml:space="preserve"> / power of attorney and supporting documents must be signed and filed by a duly authorised person. If the signatory is in India, notarisation and filing will be simpler. If the signatory is in Russia, signing documents will generally need to be notarised and apostilled for use in India</w:t>
      </w:r>
      <w:r>
        <w:rPr>
          <w:lang w:val="en-IN" w:eastAsia="en-IN"/>
        </w:rPr>
        <w:t>, each time</w:t>
      </w:r>
      <w:r w:rsidR="004522B7" w:rsidRPr="0045617B">
        <w:t>.</w:t>
      </w:r>
    </w:p>
    <w:p w14:paraId="0BF93B7A" w14:textId="0EF58A82" w:rsidR="004522B7" w:rsidRDefault="004522B7" w:rsidP="006B0246">
      <w:pPr>
        <w:pStyle w:val="ListParagraph"/>
        <w:widowControl w:val="0"/>
        <w:numPr>
          <w:ilvl w:val="0"/>
          <w:numId w:val="3"/>
        </w:numPr>
        <w:contextualSpacing w:val="0"/>
      </w:pPr>
      <w:r w:rsidRPr="00C81E35">
        <w:t>These issues can usually be managed during litigation by seeking appropriate procedural leave or filing undertakings where necessary, but they</w:t>
      </w:r>
      <w:r>
        <w:t xml:space="preserve"> do create logistical hurdles that</w:t>
      </w:r>
      <w:r w:rsidRPr="00C81E35">
        <w:t xml:space="preserve"> should be factored into the </w:t>
      </w:r>
      <w:r>
        <w:t xml:space="preserve">costs and </w:t>
      </w:r>
      <w:r w:rsidRPr="00C81E35">
        <w:t>timeline from the outset.</w:t>
      </w:r>
    </w:p>
    <w:p w14:paraId="5FDCAA6A" w14:textId="46EF1F95" w:rsidR="00CE6293" w:rsidRDefault="00754F6D" w:rsidP="006B0246">
      <w:pPr>
        <w:pStyle w:val="Heading1"/>
        <w:rPr>
          <w:rFonts w:ascii="Times New Roman" w:hAnsi="Times New Roman"/>
          <w:caps w:val="0"/>
        </w:rPr>
      </w:pPr>
      <w:bookmarkStart w:id="8" w:name="_Toc231484582"/>
      <w:r w:rsidRPr="00F00FAC">
        <w:rPr>
          <w:rFonts w:ascii="Times New Roman" w:hAnsi="Times New Roman"/>
          <w:caps w:val="0"/>
        </w:rPr>
        <w:t>QUESTION 2</w:t>
      </w:r>
      <w:bookmarkEnd w:id="8"/>
      <w:r w:rsidR="00504FBD">
        <w:rPr>
          <w:rFonts w:ascii="Times New Roman" w:hAnsi="Times New Roman"/>
          <w:caps w:val="0"/>
        </w:rPr>
        <w:t xml:space="preserve">: </w:t>
      </w:r>
      <w:r w:rsidR="00514529" w:rsidRPr="00514529">
        <w:rPr>
          <w:rFonts w:ascii="Times New Roman" w:hAnsi="Times New Roman"/>
          <w:caps w:val="0"/>
        </w:rPr>
        <w:t xml:space="preserve">OTHER ASSET IDENTIFICATION ROUTES </w:t>
      </w:r>
    </w:p>
    <w:p w14:paraId="1A14FB55" w14:textId="23FA302D" w:rsidR="00402C42" w:rsidRPr="00402C42" w:rsidRDefault="00402C42" w:rsidP="006B0246">
      <w:pPr>
        <w:widowControl w:val="0"/>
        <w:ind w:left="720" w:right="363"/>
        <w:rPr>
          <w:i/>
          <w:iCs/>
        </w:rPr>
      </w:pPr>
      <w:r>
        <w:rPr>
          <w:i/>
          <w:iCs/>
        </w:rPr>
        <w:t>“</w:t>
      </w:r>
      <w:r w:rsidRPr="00F00FAC">
        <w:rPr>
          <w:i/>
          <w:iCs/>
        </w:rPr>
        <w:t>Assess other possibilities that exist in accordance with Indian law to locate property and enforce foreclose on it in India in the interests of the Russian bankruptcy case.</w:t>
      </w:r>
      <w:r>
        <w:rPr>
          <w:i/>
          <w:iCs/>
        </w:rPr>
        <w:t>”</w:t>
      </w:r>
    </w:p>
    <w:p w14:paraId="0BDDE8CB" w14:textId="77777777" w:rsidR="00514529" w:rsidRDefault="00514529" w:rsidP="006B0246">
      <w:pPr>
        <w:pStyle w:val="decree"/>
        <w:spacing w:before="120" w:after="120"/>
      </w:pPr>
      <w:r w:rsidRPr="00514529">
        <w:t>The court-driven routes for preserving and realising assets in India are addressed in Question 1 above. This section addresses the other practical avenues available to GPB / the Receiver to identify the Guarantor’s assets before or alongside Indian proceedings.</w:t>
      </w:r>
    </w:p>
    <w:p w14:paraId="566725C7" w14:textId="5CFB05EE" w:rsidR="00514529" w:rsidRDefault="00514529" w:rsidP="006B0246">
      <w:pPr>
        <w:pStyle w:val="decree"/>
        <w:spacing w:before="120" w:after="120"/>
      </w:pPr>
      <w:r w:rsidRPr="00514529">
        <w:t>India is information-rich, but asset information is decentralised. There is no single public database that gives a complete asset profile of an individual. Searches therefore need to be run across multiple registries and jurisdictions, starting with the Guarantor’s known addresses, companies, business interests and counterparties.</w:t>
      </w:r>
    </w:p>
    <w:p w14:paraId="1ED7FC9D" w14:textId="77777777" w:rsidR="00514529" w:rsidRDefault="00514529" w:rsidP="006B0246">
      <w:pPr>
        <w:pStyle w:val="decree"/>
        <w:spacing w:before="120" w:after="120"/>
      </w:pPr>
      <w:r w:rsidRPr="00514529">
        <w:t>Singularity is well-placed to conduct or coordinate this exercise in India. These may include company records maintained by the Ministry of Corporate Affairs, land and property records in the relevant State, court databases, insolvency records, intellectual property records, and other publicly available databases. These searches may help identify immovable property, shares, directorships, company interests, receivables, litigation claims, intellectual property and other recoverable assets.</w:t>
      </w:r>
    </w:p>
    <w:p w14:paraId="548984EF" w14:textId="77777777" w:rsidR="00514529" w:rsidRDefault="00514529" w:rsidP="006B0246">
      <w:pPr>
        <w:pStyle w:val="decree"/>
        <w:spacing w:before="120" w:after="120"/>
      </w:pPr>
      <w:r w:rsidRPr="00514529">
        <w:t xml:space="preserve">Discreet private enquiries may also assist in identifying potential assets, counterparties, nominees, transaction patterns or business connections. Such enquiries are useful as intelligence-gathering tools. However, any material intended to be relied upon in court should be independently verifiable or supported by admissible </w:t>
      </w:r>
      <w:r w:rsidRPr="00514529">
        <w:lastRenderedPageBreak/>
        <w:t>documents, such as public records, certified registry extracts, bank / company records produced under court direction, or sworn evidence from persons with direct knowledge.</w:t>
      </w:r>
    </w:p>
    <w:p w14:paraId="26B3D84F" w14:textId="7E76639A" w:rsidR="00514529" w:rsidRDefault="00514529" w:rsidP="006B0246">
      <w:pPr>
        <w:pStyle w:val="decree"/>
        <w:spacing w:before="120" w:after="120"/>
      </w:pPr>
      <w:r w:rsidRPr="00514529">
        <w:t>The asset investigation can be used to: (a) identify the correct Indian forum; (b) decide whether the stronger route is GPB-led, Receiver-led, or both; (c) support urgent interim applications; and (d) identify the assets against which execution may later be sought.</w:t>
      </w:r>
    </w:p>
    <w:p w14:paraId="1A0C13F2" w14:textId="01357739" w:rsidR="00514529" w:rsidRDefault="00514529" w:rsidP="006B0246">
      <w:pPr>
        <w:pStyle w:val="decree"/>
        <w:spacing w:before="120" w:after="120"/>
      </w:pPr>
      <w:r w:rsidRPr="00514529">
        <w:t>To the extent the question refers to “foreclosure”, there is no separate private foreclosure route unless GPB holds a specific Indian security interest over an asset. Otherwise, realisation of assets will need to proceed through the court-supervised process described in Question 1. The practical value of the asset investigation is that it allows GPB / the Receiver to move quickly for preservation orders and, later, execution against identified assets.</w:t>
      </w:r>
    </w:p>
    <w:p w14:paraId="56EA9536" w14:textId="0E45BE30" w:rsidR="00D22279" w:rsidRDefault="00754F6D" w:rsidP="006B0246">
      <w:pPr>
        <w:pStyle w:val="Heading1"/>
        <w:rPr>
          <w:rStyle w:val="a"/>
          <w:caps w:val="0"/>
          <w:sz w:val="20"/>
        </w:rPr>
      </w:pPr>
      <w:bookmarkStart w:id="9" w:name="_Toc231484583"/>
      <w:r w:rsidRPr="00F00FAC">
        <w:rPr>
          <w:rStyle w:val="a"/>
          <w:caps w:val="0"/>
          <w:sz w:val="20"/>
        </w:rPr>
        <w:t>QUESTION 3</w:t>
      </w:r>
      <w:bookmarkEnd w:id="9"/>
      <w:r w:rsidR="00504FBD">
        <w:rPr>
          <w:rStyle w:val="a"/>
          <w:caps w:val="0"/>
          <w:sz w:val="20"/>
        </w:rPr>
        <w:t>: I</w:t>
      </w:r>
      <w:r w:rsidR="00504FBD" w:rsidRPr="00504FBD">
        <w:rPr>
          <w:rStyle w:val="a"/>
          <w:caps w:val="0"/>
          <w:sz w:val="20"/>
        </w:rPr>
        <w:t>NDEPENDENT JUDICIAL RECOVERY PROCEEDINGS</w:t>
      </w:r>
    </w:p>
    <w:p w14:paraId="479FE19D" w14:textId="2A23CF7B" w:rsidR="00402C42" w:rsidRPr="00514529" w:rsidRDefault="00402C42" w:rsidP="006B0246">
      <w:pPr>
        <w:ind w:left="720" w:right="363"/>
        <w:rPr>
          <w:i/>
          <w:iCs/>
        </w:rPr>
      </w:pPr>
      <w:r w:rsidRPr="00F00FAC">
        <w:rPr>
          <w:i/>
          <w:iCs/>
        </w:rPr>
        <w:t xml:space="preserve">Assess the possibility of initiating an independent judicial recovery in India from Sood Gaurav in </w:t>
      </w:r>
      <w:proofErr w:type="spellStart"/>
      <w:r w:rsidRPr="00F00FAC">
        <w:rPr>
          <w:i/>
          <w:iCs/>
        </w:rPr>
        <w:t>favor</w:t>
      </w:r>
      <w:proofErr w:type="spellEnd"/>
      <w:r w:rsidRPr="00F00FAC">
        <w:rPr>
          <w:i/>
          <w:iCs/>
        </w:rPr>
        <w:t xml:space="preserve"> of Bank GPB (JSC), the possibility of initiating bankruptcy proceedings against Sood Gaurav in India, searching for his property, seizing the property of Sood Gaurav, its sale and repayment of debts owed to the Bank from the value of such property.</w:t>
      </w:r>
    </w:p>
    <w:p w14:paraId="4E0F3FD4" w14:textId="1B24CF59" w:rsidR="00B04401" w:rsidRPr="00F00FAC" w:rsidRDefault="00067B5F" w:rsidP="006B0246">
      <w:pPr>
        <w:pStyle w:val="Heading2"/>
        <w:numPr>
          <w:ilvl w:val="0"/>
          <w:numId w:val="49"/>
        </w:numPr>
      </w:pPr>
      <w:r w:rsidRPr="00067B5F">
        <w:t>GPB-led civil recovery proceedings</w:t>
      </w:r>
    </w:p>
    <w:p w14:paraId="10CF5C31" w14:textId="77777777" w:rsidR="00067B5F" w:rsidRDefault="00067B5F" w:rsidP="006B0246">
      <w:pPr>
        <w:pStyle w:val="decree"/>
        <w:spacing w:before="120" w:after="120"/>
      </w:pPr>
      <w:r w:rsidRPr="00067B5F">
        <w:t xml:space="preserve">As explained in Question 1, GPB has a direct Indian recovery route based on the </w:t>
      </w:r>
      <w:proofErr w:type="spellStart"/>
      <w:r w:rsidRPr="00067B5F">
        <w:t>Kempartners</w:t>
      </w:r>
      <w:proofErr w:type="spellEnd"/>
      <w:r w:rsidRPr="00067B5F">
        <w:t xml:space="preserve"> Judgment. This section therefore addresses whether GPB has any additional independent route in India, in particular a civil claim on the underlying </w:t>
      </w:r>
      <w:proofErr w:type="gramStart"/>
      <w:r w:rsidRPr="00067B5F">
        <w:t>guarantee</w:t>
      </w:r>
      <w:proofErr w:type="gramEnd"/>
      <w:r w:rsidRPr="00067B5F">
        <w:t xml:space="preserve"> obligations.</w:t>
      </w:r>
    </w:p>
    <w:p w14:paraId="25570070" w14:textId="3BA5690C" w:rsidR="00067B5F" w:rsidRDefault="00067B5F" w:rsidP="006B0246">
      <w:pPr>
        <w:pStyle w:val="decree"/>
        <w:spacing w:before="120" w:after="120"/>
      </w:pPr>
      <w:r>
        <w:t xml:space="preserve">Additionally, GPB may, in principle, initiate an independent civil suit in India against the Guarantor </w:t>
      </w:r>
      <w:proofErr w:type="gramStart"/>
      <w:r>
        <w:t>on the basis of</w:t>
      </w:r>
      <w:proofErr w:type="gramEnd"/>
      <w:r>
        <w:t xml:space="preserve"> the underlying </w:t>
      </w:r>
      <w:proofErr w:type="gramStart"/>
      <w:r>
        <w:t>guarantee</w:t>
      </w:r>
      <w:proofErr w:type="gramEnd"/>
      <w:r>
        <w:t xml:space="preserve"> obligations.</w:t>
      </w:r>
      <w:r w:rsidR="008271A3" w:rsidRPr="00F00FAC">
        <w:rPr>
          <w:rStyle w:val="FootnoteReference"/>
        </w:rPr>
        <w:footnoteReference w:id="20"/>
      </w:r>
      <w:r>
        <w:t xml:space="preserve"> This route would require GPB to plead and prove the </w:t>
      </w:r>
      <w:proofErr w:type="gramStart"/>
      <w:r>
        <w:t>guarantee</w:t>
      </w:r>
      <w:proofErr w:type="gramEnd"/>
      <w:r>
        <w:t xml:space="preserve"> contracts, the Guarantor’s liability, the relevant defaults, invocation of the guarantees, and the outstanding debt.</w:t>
      </w:r>
    </w:p>
    <w:p w14:paraId="63BF1A90" w14:textId="4CA66685" w:rsidR="00067B5F" w:rsidRDefault="00067B5F" w:rsidP="006B0246">
      <w:pPr>
        <w:pStyle w:val="decree"/>
        <w:spacing w:before="120" w:after="120"/>
      </w:pPr>
      <w:r>
        <w:t xml:space="preserve">This route is </w:t>
      </w:r>
      <w:proofErr w:type="gramStart"/>
      <w:r>
        <w:t>document-sensitive</w:t>
      </w:r>
      <w:proofErr w:type="gramEnd"/>
      <w:r>
        <w:t xml:space="preserve">. We have not reviewed the </w:t>
      </w:r>
      <w:proofErr w:type="gramStart"/>
      <w:r>
        <w:t>guarantee</w:t>
      </w:r>
      <w:proofErr w:type="gramEnd"/>
      <w:r>
        <w:t xml:space="preserve"> documents and therefore cannot presently confirm the governing law, jurisdiction clause, dispute resolution clause, service provisions, limitation position, conditions for invocation, or any contractual restrictions on proceedings in India.</w:t>
      </w:r>
      <w:r w:rsidR="008271A3" w:rsidRPr="008271A3">
        <w:rPr>
          <w:rStyle w:val="FootnoteReference"/>
        </w:rPr>
        <w:t xml:space="preserve"> </w:t>
      </w:r>
      <w:r w:rsidR="008271A3">
        <w:rPr>
          <w:rStyle w:val="FootnoteReference"/>
        </w:rPr>
        <w:footnoteReference w:id="21"/>
      </w:r>
    </w:p>
    <w:p w14:paraId="653D9F3A" w14:textId="756167DA" w:rsidR="00067B5F" w:rsidRDefault="00067B5F" w:rsidP="006B0246">
      <w:pPr>
        <w:pStyle w:val="decree"/>
        <w:spacing w:before="120" w:after="120"/>
      </w:pPr>
      <w:r>
        <w:t>If the guarantees contain an exclusive Russian jurisdiction clause or arbitration clause, the Guarantor may argue that the Indian court should decline to entertain a direct contractual claim. Indian courts generally give substantial weight to contractual forum clauses, although the position will depend on the wording of the clause, the connection with India, and the relief sought.</w:t>
      </w:r>
      <w:r w:rsidR="008271A3">
        <w:rPr>
          <w:rStyle w:val="FootnoteReference"/>
        </w:rPr>
        <w:footnoteReference w:id="22"/>
      </w:r>
    </w:p>
    <w:p w14:paraId="435A5D43" w14:textId="48B5BEF9" w:rsidR="00067B5F" w:rsidRDefault="00067B5F" w:rsidP="006B0246">
      <w:pPr>
        <w:pStyle w:val="decree"/>
        <w:spacing w:before="120" w:after="120"/>
      </w:pPr>
      <w:r>
        <w:lastRenderedPageBreak/>
        <w:t xml:space="preserve">The Moscow Bankruptcy Proceedings should not, by themselves, operate as an automatic bar to an Indian civil suit unless recognised or given effect by an Indian court. However, the Guarantor may rely on those proceedings to raise objections based on standing, forum, parallel proceedings and comity. Russian-law advice should therefore be obtained on whether GPB may prosecute a direct </w:t>
      </w:r>
      <w:proofErr w:type="gramStart"/>
      <w:r>
        <w:t>guarantee</w:t>
      </w:r>
      <w:proofErr w:type="gramEnd"/>
      <w:r>
        <w:t xml:space="preserve"> claim and retain / apply recoveries directly, or whether recoveries must be dealt with in the Moscow Bankruptcy Proceedings.</w:t>
      </w:r>
    </w:p>
    <w:p w14:paraId="10DA59A1" w14:textId="6B7F86E6" w:rsidR="008271A3" w:rsidRDefault="00067B5F" w:rsidP="006B0246">
      <w:pPr>
        <w:pStyle w:val="decree"/>
        <w:spacing w:before="120" w:after="120"/>
      </w:pPr>
      <w:r>
        <w:t xml:space="preserve">Accordingly, while a direct </w:t>
      </w:r>
      <w:proofErr w:type="gramStart"/>
      <w:r>
        <w:t>guarantee</w:t>
      </w:r>
      <w:proofErr w:type="gramEnd"/>
      <w:r>
        <w:t xml:space="preserve"> claim is possible in principle, we would treat it as an additional or alternative route, subject to review of the </w:t>
      </w:r>
      <w:proofErr w:type="gramStart"/>
      <w:r>
        <w:t>guarantee</w:t>
      </w:r>
      <w:proofErr w:type="gramEnd"/>
      <w:r>
        <w:t xml:space="preserve"> documents and Russian-law advice. The more immediate GPB-led route remains the </w:t>
      </w:r>
      <w:proofErr w:type="spellStart"/>
      <w:r>
        <w:t>Kempartners</w:t>
      </w:r>
      <w:proofErr w:type="spellEnd"/>
      <w:r>
        <w:t xml:space="preserve"> Judgment route discussed in Question 1.</w:t>
      </w:r>
    </w:p>
    <w:p w14:paraId="5139043F" w14:textId="41E36034" w:rsidR="002F0D0F" w:rsidRPr="00F00FAC" w:rsidRDefault="008271A3" w:rsidP="006B0246">
      <w:pPr>
        <w:pStyle w:val="Heading2"/>
        <w:numPr>
          <w:ilvl w:val="0"/>
          <w:numId w:val="49"/>
        </w:numPr>
      </w:pPr>
      <w:r w:rsidRPr="008271A3">
        <w:t>Indian bankruptcy proceedings against the Guarantor</w:t>
      </w:r>
    </w:p>
    <w:p w14:paraId="11DD2AA6" w14:textId="1CCB8B6E" w:rsidR="008271A3" w:rsidRDefault="008271A3" w:rsidP="006B0246">
      <w:pPr>
        <w:pStyle w:val="decree"/>
        <w:spacing w:before="120" w:after="120"/>
      </w:pPr>
      <w:r>
        <w:t>GPB has also asked whether it may initiate bankruptcy proceedings against the Guarantor in India. This route is more limited and, on the present facts, should not be the first step.</w:t>
      </w:r>
    </w:p>
    <w:p w14:paraId="2EB8BD6F" w14:textId="0E14E5BE" w:rsidR="008271A3" w:rsidRDefault="008271A3" w:rsidP="006B0246">
      <w:pPr>
        <w:pStyle w:val="decree"/>
        <w:spacing w:before="120" w:after="120"/>
      </w:pPr>
      <w:r>
        <w:t>The Insolvency and Bankruptcy Code, 2016 (“</w:t>
      </w:r>
      <w:r w:rsidRPr="008271A3">
        <w:rPr>
          <w:b/>
          <w:bCs/>
        </w:rPr>
        <w:t>IBC</w:t>
      </w:r>
      <w:r>
        <w:t>”) contains provisions for insolvency and bankruptcy of individuals. However, the presently operational framework is limited to personal guarantors to corporate debtors.</w:t>
      </w:r>
      <w:r>
        <w:rPr>
          <w:rStyle w:val="FootnoteReference"/>
        </w:rPr>
        <w:footnoteReference w:id="23"/>
      </w:r>
      <w:r>
        <w:t xml:space="preserve"> The borrowers here are Russian entities, namely </w:t>
      </w:r>
      <w:proofErr w:type="spellStart"/>
      <w:r>
        <w:t>Kempartners</w:t>
      </w:r>
      <w:proofErr w:type="spellEnd"/>
      <w:r>
        <w:t xml:space="preserve">, </w:t>
      </w:r>
      <w:proofErr w:type="spellStart"/>
      <w:r>
        <w:t>Himpartners</w:t>
      </w:r>
      <w:proofErr w:type="spellEnd"/>
      <w:r>
        <w:t xml:space="preserve"> and </w:t>
      </w:r>
      <w:proofErr w:type="spellStart"/>
      <w:r>
        <w:t>Ecopolymer</w:t>
      </w:r>
      <w:proofErr w:type="spellEnd"/>
      <w:r>
        <w:t>. They are not Indian corporate debtors under the IBC. Accordingly, the IBC personal-guarantor route is unlikely to be available against the Guarantor on the present facts.</w:t>
      </w:r>
    </w:p>
    <w:p w14:paraId="0301D721" w14:textId="20B7D21F" w:rsidR="008271A3" w:rsidRDefault="008271A3" w:rsidP="006B0246">
      <w:pPr>
        <w:pStyle w:val="decree"/>
        <w:spacing w:before="120" w:after="120"/>
      </w:pPr>
      <w:r>
        <w:t>Outside the IBC, personal insolvency proceedings against individuals may still be available under the older insolvency statutes, including the Provincial Insolvency Act, 1920 (“</w:t>
      </w:r>
      <w:r w:rsidRPr="008271A3">
        <w:rPr>
          <w:b/>
          <w:bCs/>
        </w:rPr>
        <w:t>PIA</w:t>
      </w:r>
      <w:r>
        <w:t>”) and, in limited presidency-town jurisdictions, the Presidency Towns Insolvency Act, 1909 (“</w:t>
      </w:r>
      <w:r w:rsidRPr="008271A3">
        <w:rPr>
          <w:b/>
          <w:bCs/>
        </w:rPr>
        <w:t>PTIA</w:t>
      </w:r>
      <w:r>
        <w:t>”).</w:t>
      </w:r>
      <w:r>
        <w:rPr>
          <w:rStyle w:val="FootnoteReference"/>
        </w:rPr>
        <w:footnoteReference w:id="24"/>
      </w:r>
      <w:r>
        <w:t xml:space="preserve"> Based on the present information that the Guarantor’s address is in Delhi, any Indian personal insolvency proceeding would most likely fall under the PIA before the competent court in Delhi.</w:t>
      </w:r>
      <w:r w:rsidRPr="00F00FAC">
        <w:rPr>
          <w:rStyle w:val="FootnoteReference"/>
        </w:rPr>
        <w:footnoteReference w:id="25"/>
      </w:r>
    </w:p>
    <w:p w14:paraId="3177384B" w14:textId="77299BE3" w:rsidR="008271A3" w:rsidRDefault="008271A3" w:rsidP="006B0246">
      <w:pPr>
        <w:pStyle w:val="decree"/>
        <w:spacing w:before="120" w:after="120"/>
      </w:pPr>
      <w:r>
        <w:t>The PIA route is theoretically available, but it is not recommended as the first step. A creditor petition would require GPB to establish the debt and satisfy the statutory conditions for insolvency, including an act of insolvency under Indian law. A petition based only on the Russian decisions or the underlying guarantees may face threshold objections on debt, enforceability, jurisdiction, forum and the effect of the Moscow Bankruptcy Proceedings.</w:t>
      </w:r>
    </w:p>
    <w:p w14:paraId="2602D523" w14:textId="4704A882" w:rsidR="008271A3" w:rsidRDefault="008271A3" w:rsidP="006B0246">
      <w:pPr>
        <w:pStyle w:val="decree"/>
        <w:spacing w:before="120" w:after="120"/>
      </w:pPr>
      <w:r>
        <w:t>Further, PIA proceedings are domestic Indian insolvency proceedings. They do not operate as a recognition mechanism for the Russian bankruptcy, do not automatically recognise the Receiver’s powers, and do not automatically coordinate with the Moscow Bankruptcy Proceedings.</w:t>
      </w:r>
      <w:r>
        <w:rPr>
          <w:rStyle w:val="FootnoteReference"/>
        </w:rPr>
        <w:footnoteReference w:id="26"/>
      </w:r>
      <w:r>
        <w:t xml:space="preserve"> If the Guarantor is adjudicated </w:t>
      </w:r>
      <w:r>
        <w:lastRenderedPageBreak/>
        <w:t>insolvent in India, the process would be administered under Indian law and other creditors may participate. This may reduce GPB’s control over the recovery process.</w:t>
      </w:r>
    </w:p>
    <w:p w14:paraId="39530388" w14:textId="6CA625B0" w:rsidR="008271A3" w:rsidRDefault="008271A3" w:rsidP="006B0246">
      <w:pPr>
        <w:pStyle w:val="decree"/>
        <w:spacing w:before="120" w:after="120"/>
      </w:pPr>
      <w:r>
        <w:t xml:space="preserve">The position would be stronger if GPB first obtains an Indian decree on the </w:t>
      </w:r>
      <w:proofErr w:type="spellStart"/>
      <w:r>
        <w:t>Kempartners</w:t>
      </w:r>
      <w:proofErr w:type="spellEnd"/>
      <w:r>
        <w:t xml:space="preserve"> Judgment or on the guarantees. Once there is an Indian decree, GPB’s status as a creditor for Indian-law purposes would be clearer, and any later insolvency or execution step would be less vulnerable to threshold objections.</w:t>
      </w:r>
    </w:p>
    <w:p w14:paraId="28661F13" w14:textId="0E8F0CED" w:rsidR="00211C9F" w:rsidRDefault="00211C9F" w:rsidP="006B0246">
      <w:pPr>
        <w:pStyle w:val="Heading2"/>
      </w:pPr>
      <w:r w:rsidRPr="00211C9F">
        <w:t>Search, seizure, sale and repayment from Indian assets</w:t>
      </w:r>
    </w:p>
    <w:p w14:paraId="18AAAECE" w14:textId="501247CB" w:rsidR="00C47439" w:rsidRDefault="00C47439" w:rsidP="006B0246">
      <w:pPr>
        <w:pStyle w:val="decree"/>
        <w:spacing w:before="120" w:after="120"/>
      </w:pPr>
      <w:r>
        <w:t>The mechanisms for locating, preserving and realising the Guarantor’s Indian assets are addressed in Questions 1 and 2 above. In summary, asset identification would begin with public searches and targeted enquiries that Singularity can assist with. Seizure or preservation of assets would require Indian court orders, including attachment before judgment, injunctions or appointment of a receiver. Sale and repayment from assets would ordinarily take place only after GPB obtains an Indian decree or recognition order, through court-supervised execution.</w:t>
      </w:r>
    </w:p>
    <w:p w14:paraId="2AE30945" w14:textId="27F51CA4" w:rsidR="00211C9F" w:rsidRDefault="00C47439" w:rsidP="006B0246">
      <w:pPr>
        <w:pStyle w:val="decree"/>
        <w:spacing w:before="120" w:after="120"/>
      </w:pPr>
      <w:r>
        <w:t xml:space="preserve">Accordingly, for an independent GPB-led recovery route, the practical sequence would be: </w:t>
      </w:r>
      <w:r w:rsidRPr="00C47439">
        <w:rPr>
          <w:i/>
          <w:iCs/>
        </w:rPr>
        <w:t>first</w:t>
      </w:r>
      <w:r>
        <w:t xml:space="preserve">, identify Indian assets; </w:t>
      </w:r>
      <w:r w:rsidRPr="00C47439">
        <w:rPr>
          <w:i/>
          <w:iCs/>
        </w:rPr>
        <w:t>second</w:t>
      </w:r>
      <w:r>
        <w:t xml:space="preserve">, file the Indian suit and seek urgent interim protection; and </w:t>
      </w:r>
      <w:r w:rsidRPr="00C47439">
        <w:rPr>
          <w:i/>
          <w:iCs/>
        </w:rPr>
        <w:t>third</w:t>
      </w:r>
      <w:r>
        <w:t>, after obtaining an Indian decree, proceed to execution against the identified assets.</w:t>
      </w:r>
    </w:p>
    <w:p w14:paraId="4F96FA76" w14:textId="2D086399" w:rsidR="002472E9" w:rsidRDefault="00754F6D" w:rsidP="006B0246">
      <w:pPr>
        <w:pStyle w:val="Heading1"/>
        <w:rPr>
          <w:rFonts w:ascii="Times New Roman" w:hAnsi="Times New Roman"/>
          <w:lang w:val="en-IN"/>
        </w:rPr>
      </w:pPr>
      <w:bookmarkStart w:id="10" w:name="_Toc231484584"/>
      <w:r w:rsidRPr="00F00FAC">
        <w:rPr>
          <w:rFonts w:ascii="Times New Roman" w:hAnsi="Times New Roman"/>
          <w:caps w:val="0"/>
          <w:lang w:val="en-IN"/>
        </w:rPr>
        <w:t xml:space="preserve">QUESTION 4: </w:t>
      </w:r>
      <w:r w:rsidR="002E55BA" w:rsidRPr="00F00FAC">
        <w:rPr>
          <w:rFonts w:ascii="Times New Roman" w:hAnsi="Times New Roman"/>
          <w:caps w:val="0"/>
          <w:lang w:val="en-IN"/>
        </w:rPr>
        <w:t>COMPETI</w:t>
      </w:r>
      <w:r w:rsidR="00B26985" w:rsidRPr="00F00FAC">
        <w:rPr>
          <w:rFonts w:ascii="Times New Roman" w:hAnsi="Times New Roman"/>
          <w:caps w:val="0"/>
          <w:lang w:val="en-IN"/>
        </w:rPr>
        <w:t xml:space="preserve">NG </w:t>
      </w:r>
      <w:r w:rsidR="002E55BA" w:rsidRPr="00F00FAC">
        <w:rPr>
          <w:rFonts w:ascii="Times New Roman" w:hAnsi="Times New Roman"/>
          <w:caps w:val="0"/>
          <w:lang w:val="en-IN"/>
        </w:rPr>
        <w:t>PROCEEDINGS</w:t>
      </w:r>
      <w:r w:rsidR="00A451E2" w:rsidRPr="00F00FAC">
        <w:rPr>
          <w:rFonts w:ascii="Times New Roman" w:hAnsi="Times New Roman"/>
          <w:lang w:val="en-IN"/>
        </w:rPr>
        <w:t xml:space="preserve"> </w:t>
      </w:r>
      <w:r w:rsidR="00176C75" w:rsidRPr="00F00FAC">
        <w:rPr>
          <w:rFonts w:ascii="Times New Roman" w:hAnsi="Times New Roman"/>
          <w:lang w:val="en-IN"/>
        </w:rPr>
        <w:t>AND COORDINATION RISKS</w:t>
      </w:r>
      <w:bookmarkEnd w:id="10"/>
    </w:p>
    <w:p w14:paraId="595D02A5" w14:textId="6CAB89D2" w:rsidR="00402C42" w:rsidRPr="00402C42" w:rsidRDefault="00402C42" w:rsidP="006B0246">
      <w:pPr>
        <w:ind w:left="720" w:right="363"/>
        <w:rPr>
          <w:lang w:val="en-IN"/>
        </w:rPr>
      </w:pPr>
      <w:r w:rsidRPr="00F00FAC">
        <w:rPr>
          <w:i/>
          <w:iCs/>
        </w:rPr>
        <w:t>Assess the risks of competition between the actions of the Russian bankruptcy trustee and individual lawsuits in India against Sood Gaurav, including those initiated by other creditors.</w:t>
      </w:r>
    </w:p>
    <w:p w14:paraId="40F96762" w14:textId="5C16020D" w:rsidR="00C47439" w:rsidRDefault="00C47439" w:rsidP="006B0246">
      <w:pPr>
        <w:pStyle w:val="decree"/>
        <w:spacing w:before="120" w:after="120"/>
      </w:pPr>
      <w:r w:rsidRPr="00C47439">
        <w:t xml:space="preserve">There is a </w:t>
      </w:r>
      <w:r w:rsidR="00D01EDD">
        <w:t xml:space="preserve">real </w:t>
      </w:r>
      <w:r w:rsidRPr="00C47439">
        <w:t>risk of competing proceedings in India. The Moscow Bankruptcy Proceedings do not automatically stay or control Indian proceedings against the Guarantor, unless and until the Moscow Bankruptcy Order or the Receiver’s authority is recognised or given effect by an Indian court.</w:t>
      </w:r>
      <w:r w:rsidR="006B0246">
        <w:rPr>
          <w:rStyle w:val="FootnoteReference"/>
        </w:rPr>
        <w:footnoteReference w:id="27"/>
      </w:r>
    </w:p>
    <w:p w14:paraId="7BDE4320" w14:textId="2F3EDAF6" w:rsidR="00D01EDD" w:rsidRDefault="00D01EDD" w:rsidP="006B0246">
      <w:pPr>
        <w:pStyle w:val="decree"/>
        <w:spacing w:before="120" w:after="120"/>
      </w:pPr>
      <w:r w:rsidRPr="00D01EDD">
        <w:t xml:space="preserve">As a result, there are three possible sources of competition in India: (a) Receiver-led proceedings seeking recognition of the Receiver’s authority over Indian assets; (b) GPB-led proceedings, including on the </w:t>
      </w:r>
      <w:proofErr w:type="spellStart"/>
      <w:r w:rsidRPr="00D01EDD">
        <w:t>Kempartners</w:t>
      </w:r>
      <w:proofErr w:type="spellEnd"/>
      <w:r w:rsidRPr="00D01EDD">
        <w:t xml:space="preserve"> Judgment or the underlying guarantees; and (c) proceedings by other creditors against the Guarantor.</w:t>
      </w:r>
    </w:p>
    <w:p w14:paraId="00C7BCE1" w14:textId="3F9F0930" w:rsidR="00D01EDD" w:rsidRDefault="00D01EDD" w:rsidP="006B0246">
      <w:pPr>
        <w:pStyle w:val="decree"/>
        <w:spacing w:before="120" w:after="120"/>
      </w:pPr>
      <w:r w:rsidRPr="00D01EDD">
        <w:rPr>
          <w:b/>
          <w:bCs/>
        </w:rPr>
        <w:t>First</w:t>
      </w:r>
      <w:r>
        <w:t>, t</w:t>
      </w:r>
      <w:r w:rsidRPr="00D01EDD">
        <w:t xml:space="preserve">he main risk between GPB and the Receiver is not that both routes are unavailable, but that they must be coordinated. The Receiver-led route is directed at administering Indian assets for the benefit of the Russian bankruptcy process. The GPB-led route, particularly the </w:t>
      </w:r>
      <w:proofErr w:type="spellStart"/>
      <w:r w:rsidRPr="00D01EDD">
        <w:t>Kempartners</w:t>
      </w:r>
      <w:proofErr w:type="spellEnd"/>
      <w:r w:rsidRPr="00D01EDD">
        <w:t xml:space="preserve"> Judgment route, is directed at recovery by GPB on its own judgment. If both routes are pursued without coordination, the Guarantor may raise objections based on standing, duplication, parallel proceedings and inconsistent recovery positions.</w:t>
      </w:r>
    </w:p>
    <w:p w14:paraId="7B128FC1" w14:textId="2E876324" w:rsidR="00D01EDD" w:rsidRDefault="00D01EDD" w:rsidP="006B0246">
      <w:pPr>
        <w:pStyle w:val="decree"/>
        <w:spacing w:before="120" w:after="120"/>
      </w:pPr>
      <w:r w:rsidRPr="00D01EDD">
        <w:t xml:space="preserve">This risk can be managed. GPB should obtain Russian-law confirmation on whether it may prosecute Indian proceedings and retain / apply recoveries directly, or whether any recovery must be accounted for within the Moscow Bankruptcy Proceedings. If necessary, the Indian proceedings can be structured so that GPB proceeds with the Receiver’s knowledge or support, or so that any recovery position is expressly reserved </w:t>
      </w:r>
      <w:r w:rsidRPr="00D01EDD">
        <w:lastRenderedPageBreak/>
        <w:t>pending Russian-law treatment.</w:t>
      </w:r>
    </w:p>
    <w:p w14:paraId="1F2E3D66" w14:textId="1F8E5675" w:rsidR="00D01EDD" w:rsidRDefault="00D01EDD" w:rsidP="006B0246">
      <w:pPr>
        <w:pStyle w:val="decree"/>
        <w:spacing w:before="120" w:after="120"/>
      </w:pPr>
      <w:r w:rsidRPr="00D01EDD">
        <w:rPr>
          <w:b/>
          <w:bCs/>
        </w:rPr>
        <w:t>Second</w:t>
      </w:r>
      <w:r>
        <w:t>, there is also a risk of competition from other creditors. Until Indian recognition or Indian insolvency proceedings create a collective framework, other creditors may file their own suits, seek interim protection, obtain decrees, or commence execution against the Guarantor’s Indian assets. The Russian bankruptcy process will not by itself give the Receiver or GPB automatic priority over such creditors in India.</w:t>
      </w:r>
    </w:p>
    <w:p w14:paraId="3E91927D" w14:textId="66BD44CC" w:rsidR="00D01EDD" w:rsidRDefault="00D01EDD" w:rsidP="006B0246">
      <w:pPr>
        <w:pStyle w:val="decree"/>
        <w:spacing w:before="120" w:after="120"/>
      </w:pPr>
      <w:r>
        <w:t>This creates a practical first-mover risk. A creditor that identifies assets early and obtains Indian court orders may gain procedural leverage, even if final priority is later determined by Indian law.</w:t>
      </w:r>
      <w:r w:rsidR="006B0246">
        <w:rPr>
          <w:rStyle w:val="FootnoteReference"/>
        </w:rPr>
        <w:footnoteReference w:id="28"/>
      </w:r>
      <w:r>
        <w:t xml:space="preserve"> Conversely, delay may allow other creditors to attach assets, seek execution, or force GPB / the Receiver to litigate priority and distribution issues in India.</w:t>
      </w:r>
    </w:p>
    <w:p w14:paraId="2EF0D2D6" w14:textId="4E02D25B" w:rsidR="00D01EDD" w:rsidRDefault="00D01EDD" w:rsidP="006B0246">
      <w:pPr>
        <w:pStyle w:val="decree"/>
        <w:spacing w:before="120" w:after="120"/>
      </w:pPr>
      <w:r>
        <w:t xml:space="preserve">If Indian insolvency proceedings are commenced against the Guarantor under the </w:t>
      </w:r>
      <w:r w:rsidR="00AE0FE3">
        <w:t>PIA</w:t>
      </w:r>
      <w:r>
        <w:t>, the risk becomes more significant. Indian insolvency would create a domestic collective process.</w:t>
      </w:r>
      <w:r w:rsidR="006B0246">
        <w:rPr>
          <w:rStyle w:val="FootnoteReference"/>
        </w:rPr>
        <w:footnoteReference w:id="29"/>
      </w:r>
      <w:r>
        <w:t xml:space="preserve"> The Guarantor’s Indian assets may then be administered under Indian law, and individual execution steps may be restricted. This may reduce GPB’s control over recovery and may require coordination between the Indian insolvency process and the Moscow Bankruptcy Proceedings.</w:t>
      </w:r>
    </w:p>
    <w:p w14:paraId="74901F2F" w14:textId="0FFE39D6" w:rsidR="00D01EDD" w:rsidRDefault="00D01EDD" w:rsidP="006B0246">
      <w:pPr>
        <w:pStyle w:val="decree"/>
        <w:spacing w:before="120" w:after="120"/>
      </w:pPr>
      <w:r>
        <w:t>The key mitigation is to decide the Indian strategy at the outset. If the objective is recovery specifically for GPB, the GPB-led route should be pursued promptly, supported by asset searches and interim applications. If the objective is administration of Indian assets for the Russian bankruptcy estate, the Receiver-led recognition route is cleaner. If both routes are to be preserved, they should be coordinated and not presented inconsistently before the Indian court.</w:t>
      </w:r>
    </w:p>
    <w:p w14:paraId="1569AD9C" w14:textId="65B38FEB" w:rsidR="006808CB" w:rsidRPr="00F00FAC" w:rsidRDefault="00D01EDD" w:rsidP="006B0246">
      <w:pPr>
        <w:pStyle w:val="decree"/>
        <w:spacing w:before="120" w:after="120"/>
      </w:pPr>
      <w:r>
        <w:t>In practical terms, we recommend: (a) immediate Indian asset searches; (b) Russian-law confirmation on GPB’s standing and treatment of recoveries; (c) early filing in India if assets are identified; (d) urgent interim protection to prevent dissipation; and (e) monitoring of Indian court and insolvency records for proceedings initiated by other creditors.</w:t>
      </w:r>
    </w:p>
    <w:p w14:paraId="77F0A411" w14:textId="6209B840" w:rsidR="006D798B" w:rsidRDefault="004151EE" w:rsidP="006B0246">
      <w:pPr>
        <w:pStyle w:val="Heading1"/>
        <w:rPr>
          <w:rFonts w:ascii="Times New Roman" w:hAnsi="Times New Roman"/>
        </w:rPr>
      </w:pPr>
      <w:bookmarkStart w:id="11" w:name="_Ref230717982"/>
      <w:bookmarkStart w:id="12" w:name="_Toc231484585"/>
      <w:r w:rsidRPr="00F00FAC">
        <w:rPr>
          <w:rFonts w:ascii="Times New Roman" w:hAnsi="Times New Roman"/>
        </w:rPr>
        <w:t>QUESTION</w:t>
      </w:r>
      <w:r w:rsidR="00754F6D" w:rsidRPr="00F00FAC">
        <w:rPr>
          <w:rFonts w:ascii="Times New Roman" w:hAnsi="Times New Roman"/>
        </w:rPr>
        <w:t xml:space="preserve"> 5: </w:t>
      </w:r>
      <w:r w:rsidR="006D798B" w:rsidRPr="00F00FAC">
        <w:rPr>
          <w:rFonts w:ascii="Times New Roman" w:hAnsi="Times New Roman"/>
        </w:rPr>
        <w:t>ESTIMATED COSTS AND FEES</w:t>
      </w:r>
      <w:bookmarkEnd w:id="11"/>
      <w:bookmarkEnd w:id="12"/>
    </w:p>
    <w:p w14:paraId="3600AF22" w14:textId="534B8A6F" w:rsidR="00402C42" w:rsidRPr="00402C42" w:rsidRDefault="00402C42" w:rsidP="006B0246">
      <w:pPr>
        <w:ind w:left="720" w:right="363"/>
        <w:rPr>
          <w:b/>
          <w:bCs/>
        </w:rPr>
      </w:pPr>
      <w:r w:rsidRPr="00F00FAC">
        <w:rPr>
          <w:i/>
          <w:iCs/>
        </w:rPr>
        <w:t>The cost of services provided by the Legal Adviser if they are involved in dealing with the recognition and enforcement of the said decision in India.</w:t>
      </w:r>
    </w:p>
    <w:p w14:paraId="3B58120D" w14:textId="1EF0E001" w:rsidR="00AB14FB" w:rsidRPr="00F00FAC" w:rsidRDefault="00AB14FB" w:rsidP="006B0246">
      <w:pPr>
        <w:pStyle w:val="decree"/>
        <w:spacing w:before="120" w:after="120"/>
      </w:pPr>
      <w:r w:rsidRPr="00F00FAC">
        <w:t>We charge fees on a time-spent basis. Our charge-out rates for FY26–27 are set out below, subject to annual escalation of 12.5%.</w:t>
      </w:r>
    </w:p>
    <w:tbl>
      <w:tblPr>
        <w:tblW w:w="0" w:type="auto"/>
        <w:jc w:val="center"/>
        <w:shd w:val="clear" w:color="auto" w:fill="FFFFFF"/>
        <w:tblCellMar>
          <w:left w:w="0" w:type="dxa"/>
          <w:right w:w="0" w:type="dxa"/>
        </w:tblCellMar>
        <w:tblLook w:val="04A0" w:firstRow="1" w:lastRow="0" w:firstColumn="1" w:lastColumn="0" w:noHBand="0" w:noVBand="1"/>
      </w:tblPr>
      <w:tblGrid>
        <w:gridCol w:w="2637"/>
        <w:gridCol w:w="2690"/>
      </w:tblGrid>
      <w:tr w:rsidR="00AB14FB" w:rsidRPr="00F00FAC" w14:paraId="6AE5AEB0" w14:textId="77777777" w:rsidTr="008B7ED5">
        <w:trPr>
          <w:trHeight w:val="800"/>
          <w:jc w:val="center"/>
        </w:trPr>
        <w:tc>
          <w:tcPr>
            <w:tcW w:w="263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CB95A29" w14:textId="77777777" w:rsidR="00AB14FB" w:rsidRPr="00F00FAC" w:rsidRDefault="00AB14FB" w:rsidP="00CC4B5E">
            <w:pPr>
              <w:keepNext/>
              <w:ind w:left="432" w:right="130"/>
              <w:jc w:val="center"/>
              <w:rPr>
                <w:rFonts w:eastAsia="Times New Roman"/>
                <w:color w:val="222222"/>
              </w:rPr>
            </w:pPr>
            <w:r w:rsidRPr="00F00FAC">
              <w:rPr>
                <w:rFonts w:eastAsia="Times New Roman"/>
                <w:b/>
                <w:bCs/>
                <w:color w:val="222222"/>
              </w:rPr>
              <w:lastRenderedPageBreak/>
              <w:t>Designation</w:t>
            </w:r>
          </w:p>
        </w:tc>
        <w:tc>
          <w:tcPr>
            <w:tcW w:w="2690" w:type="dxa"/>
            <w:tcBorders>
              <w:top w:val="single" w:sz="4" w:space="0" w:color="auto"/>
              <w:left w:val="single" w:sz="4" w:space="0" w:color="auto"/>
              <w:bottom w:val="single" w:sz="4" w:space="0" w:color="auto"/>
              <w:right w:val="single" w:sz="4" w:space="0" w:color="auto"/>
            </w:tcBorders>
            <w:shd w:val="clear" w:color="auto" w:fill="A6A6A6"/>
            <w:vAlign w:val="center"/>
            <w:hideMark/>
          </w:tcPr>
          <w:p w14:paraId="2DC49DC7" w14:textId="77777777" w:rsidR="00AB14FB" w:rsidRPr="00F00FAC" w:rsidRDefault="00AB14FB" w:rsidP="00CC4B5E">
            <w:pPr>
              <w:keepNext/>
              <w:ind w:left="88" w:right="130"/>
              <w:jc w:val="center"/>
              <w:rPr>
                <w:rFonts w:eastAsia="Times New Roman"/>
                <w:color w:val="222222"/>
              </w:rPr>
            </w:pPr>
            <w:r w:rsidRPr="00F00FAC">
              <w:rPr>
                <w:rFonts w:eastAsia="Times New Roman"/>
                <w:b/>
                <w:bCs/>
                <w:color w:val="222222"/>
              </w:rPr>
              <w:t>Charge-out per hour (US$)</w:t>
            </w:r>
          </w:p>
        </w:tc>
      </w:tr>
      <w:tr w:rsidR="00AB14FB" w:rsidRPr="00F00FAC" w14:paraId="298F63D4" w14:textId="77777777" w:rsidTr="008B7ED5">
        <w:trPr>
          <w:trHeight w:val="508"/>
          <w:jc w:val="center"/>
        </w:trPr>
        <w:tc>
          <w:tcPr>
            <w:tcW w:w="26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6B7626" w14:textId="77777777" w:rsidR="00AB14FB" w:rsidRPr="00F00FAC" w:rsidRDefault="00AB14FB" w:rsidP="00CC4B5E">
            <w:pPr>
              <w:keepNext/>
              <w:ind w:left="431" w:right="130"/>
              <w:jc w:val="center"/>
              <w:rPr>
                <w:rFonts w:eastAsia="Times New Roman"/>
                <w:color w:val="222222"/>
              </w:rPr>
            </w:pPr>
            <w:r w:rsidRPr="00F00FAC">
              <w:rPr>
                <w:rFonts w:eastAsia="Times New Roman"/>
                <w:color w:val="222222"/>
              </w:rPr>
              <w:t>Partner</w:t>
            </w:r>
          </w:p>
        </w:tc>
        <w:tc>
          <w:tcPr>
            <w:tcW w:w="26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A04BF9" w14:textId="77777777" w:rsidR="00AB14FB" w:rsidRPr="00F00FAC" w:rsidRDefault="00AB14FB" w:rsidP="00CC4B5E">
            <w:pPr>
              <w:keepNext/>
              <w:ind w:left="431" w:right="130"/>
              <w:jc w:val="center"/>
              <w:rPr>
                <w:rFonts w:eastAsia="Times New Roman"/>
                <w:color w:val="222222"/>
              </w:rPr>
            </w:pPr>
            <w:r w:rsidRPr="00F00FAC">
              <w:rPr>
                <w:rFonts w:eastAsia="Times New Roman"/>
                <w:color w:val="222222"/>
              </w:rPr>
              <w:t>645</w:t>
            </w:r>
          </w:p>
        </w:tc>
      </w:tr>
      <w:tr w:rsidR="00AB14FB" w:rsidRPr="00F00FAC" w14:paraId="191ECB49" w14:textId="77777777" w:rsidTr="008B7ED5">
        <w:trPr>
          <w:trHeight w:val="503"/>
          <w:jc w:val="center"/>
        </w:trPr>
        <w:tc>
          <w:tcPr>
            <w:tcW w:w="26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F583B8"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Managing Counsel / Director</w:t>
            </w:r>
          </w:p>
        </w:tc>
        <w:tc>
          <w:tcPr>
            <w:tcW w:w="26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CB2386"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505</w:t>
            </w:r>
          </w:p>
        </w:tc>
      </w:tr>
      <w:tr w:rsidR="00AB14FB" w:rsidRPr="00F00FAC" w14:paraId="5A39AF48" w14:textId="77777777" w:rsidTr="008B7ED5">
        <w:trPr>
          <w:trHeight w:val="503"/>
          <w:jc w:val="center"/>
        </w:trPr>
        <w:tc>
          <w:tcPr>
            <w:tcW w:w="26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696FE2"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Counsel</w:t>
            </w:r>
          </w:p>
        </w:tc>
        <w:tc>
          <w:tcPr>
            <w:tcW w:w="26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F60C10"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410</w:t>
            </w:r>
          </w:p>
        </w:tc>
      </w:tr>
      <w:tr w:rsidR="00AB14FB" w:rsidRPr="00F00FAC" w14:paraId="19A6D310" w14:textId="77777777" w:rsidTr="008B7ED5">
        <w:trPr>
          <w:trHeight w:val="503"/>
          <w:jc w:val="center"/>
        </w:trPr>
        <w:tc>
          <w:tcPr>
            <w:tcW w:w="263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064574"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Trainee</w:t>
            </w:r>
          </w:p>
        </w:tc>
        <w:tc>
          <w:tcPr>
            <w:tcW w:w="26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A36D59" w14:textId="77777777" w:rsidR="00AB14FB" w:rsidRPr="00F00FAC" w:rsidRDefault="00AB14FB" w:rsidP="00CC4B5E">
            <w:pPr>
              <w:ind w:left="431" w:right="130"/>
              <w:jc w:val="center"/>
              <w:rPr>
                <w:rFonts w:eastAsia="Times New Roman"/>
                <w:color w:val="222222"/>
              </w:rPr>
            </w:pPr>
            <w:r w:rsidRPr="00F00FAC">
              <w:rPr>
                <w:rFonts w:eastAsia="Times New Roman"/>
                <w:color w:val="222222"/>
              </w:rPr>
              <w:t>220</w:t>
            </w:r>
          </w:p>
        </w:tc>
      </w:tr>
    </w:tbl>
    <w:p w14:paraId="27E6C78D" w14:textId="77777777" w:rsidR="00514529" w:rsidRDefault="00514529" w:rsidP="00514529">
      <w:pPr>
        <w:pStyle w:val="decree"/>
        <w:spacing w:before="120" w:after="120"/>
      </w:pPr>
      <w:r>
        <w:t xml:space="preserve">Our stage-wise proposal for legal fees and costs is as follows: </w:t>
      </w:r>
    </w:p>
    <w:tbl>
      <w:tblPr>
        <w:tblStyle w:val="TableGrid"/>
        <w:tblW w:w="8926" w:type="dxa"/>
        <w:tblLayout w:type="fixed"/>
        <w:tblLook w:val="04A0" w:firstRow="1" w:lastRow="0" w:firstColumn="1" w:lastColumn="0" w:noHBand="0" w:noVBand="1"/>
      </w:tblPr>
      <w:tblGrid>
        <w:gridCol w:w="826"/>
        <w:gridCol w:w="1721"/>
        <w:gridCol w:w="3260"/>
        <w:gridCol w:w="1418"/>
        <w:gridCol w:w="1701"/>
      </w:tblGrid>
      <w:tr w:rsidR="00514529" w:rsidRPr="004C1EFE" w14:paraId="14A003EE" w14:textId="77777777" w:rsidTr="00FD22C7">
        <w:trPr>
          <w:trHeight w:val="290"/>
        </w:trPr>
        <w:tc>
          <w:tcPr>
            <w:tcW w:w="826" w:type="dxa"/>
            <w:shd w:val="clear" w:color="auto" w:fill="A6A6A6" w:themeFill="background1" w:themeFillShade="A6"/>
            <w:hideMark/>
          </w:tcPr>
          <w:p w14:paraId="5B82338E" w14:textId="77777777" w:rsidR="00514529" w:rsidRPr="00514529" w:rsidRDefault="00514529" w:rsidP="00067B5F">
            <w:pPr>
              <w:keepNext/>
              <w:widowControl w:val="0"/>
              <w:spacing w:before="120" w:after="120"/>
              <w:rPr>
                <w:rFonts w:asciiTheme="majorBidi" w:hAnsiTheme="majorBidi" w:cstheme="majorBidi"/>
                <w:b/>
                <w:bCs/>
                <w:lang w:val="en-IN"/>
              </w:rPr>
            </w:pPr>
            <w:r w:rsidRPr="00514529">
              <w:rPr>
                <w:rFonts w:asciiTheme="majorBidi" w:hAnsiTheme="majorBidi" w:cstheme="majorBidi"/>
                <w:b/>
                <w:bCs/>
              </w:rPr>
              <w:t>Sr. No.</w:t>
            </w:r>
          </w:p>
        </w:tc>
        <w:tc>
          <w:tcPr>
            <w:tcW w:w="1721" w:type="dxa"/>
            <w:shd w:val="clear" w:color="auto" w:fill="A6A6A6" w:themeFill="background1" w:themeFillShade="A6"/>
          </w:tcPr>
          <w:p w14:paraId="2D00A56E" w14:textId="77777777" w:rsidR="00514529" w:rsidRPr="00514529" w:rsidRDefault="00514529" w:rsidP="00067B5F">
            <w:pPr>
              <w:keepNext/>
              <w:widowControl w:val="0"/>
              <w:spacing w:before="120" w:after="120"/>
              <w:jc w:val="center"/>
              <w:rPr>
                <w:rFonts w:asciiTheme="majorBidi" w:hAnsiTheme="majorBidi" w:cstheme="majorBidi"/>
                <w:b/>
                <w:bCs/>
              </w:rPr>
            </w:pPr>
            <w:r w:rsidRPr="00514529">
              <w:rPr>
                <w:rFonts w:asciiTheme="majorBidi" w:hAnsiTheme="majorBidi" w:cstheme="majorBidi"/>
                <w:b/>
                <w:bCs/>
              </w:rPr>
              <w:t>Stage</w:t>
            </w:r>
          </w:p>
        </w:tc>
        <w:tc>
          <w:tcPr>
            <w:tcW w:w="3260" w:type="dxa"/>
            <w:shd w:val="clear" w:color="auto" w:fill="A6A6A6" w:themeFill="background1" w:themeFillShade="A6"/>
            <w:hideMark/>
          </w:tcPr>
          <w:p w14:paraId="0CD73472" w14:textId="77777777" w:rsidR="00514529" w:rsidRPr="00514529" w:rsidRDefault="00514529" w:rsidP="00067B5F">
            <w:pPr>
              <w:keepNext/>
              <w:widowControl w:val="0"/>
              <w:spacing w:before="120" w:after="120"/>
              <w:jc w:val="center"/>
              <w:rPr>
                <w:rFonts w:asciiTheme="majorBidi" w:hAnsiTheme="majorBidi" w:cstheme="majorBidi"/>
                <w:b/>
                <w:bCs/>
              </w:rPr>
            </w:pPr>
            <w:r w:rsidRPr="00514529">
              <w:rPr>
                <w:rFonts w:asciiTheme="majorBidi" w:hAnsiTheme="majorBidi" w:cstheme="majorBidi"/>
                <w:b/>
                <w:bCs/>
              </w:rPr>
              <w:t>Scope</w:t>
            </w:r>
          </w:p>
        </w:tc>
        <w:tc>
          <w:tcPr>
            <w:tcW w:w="1418" w:type="dxa"/>
            <w:shd w:val="clear" w:color="auto" w:fill="A6A6A6" w:themeFill="background1" w:themeFillShade="A6"/>
            <w:hideMark/>
          </w:tcPr>
          <w:p w14:paraId="3703B7D5" w14:textId="7F8EB325" w:rsidR="00514529" w:rsidRPr="00514529" w:rsidRDefault="00514529" w:rsidP="00067B5F">
            <w:pPr>
              <w:keepNext/>
              <w:widowControl w:val="0"/>
              <w:spacing w:before="120" w:after="120"/>
              <w:jc w:val="center"/>
              <w:rPr>
                <w:rFonts w:asciiTheme="majorBidi" w:hAnsiTheme="majorBidi" w:cstheme="majorBidi"/>
                <w:b/>
                <w:bCs/>
              </w:rPr>
            </w:pPr>
            <w:r w:rsidRPr="00514529">
              <w:rPr>
                <w:rFonts w:asciiTheme="majorBidi" w:hAnsiTheme="majorBidi" w:cstheme="majorBidi"/>
                <w:b/>
                <w:bCs/>
              </w:rPr>
              <w:t>Singularity’s fees (US$)</w:t>
            </w:r>
          </w:p>
        </w:tc>
        <w:tc>
          <w:tcPr>
            <w:tcW w:w="1701" w:type="dxa"/>
            <w:shd w:val="clear" w:color="auto" w:fill="A6A6A6" w:themeFill="background1" w:themeFillShade="A6"/>
            <w:hideMark/>
          </w:tcPr>
          <w:p w14:paraId="24B0259F" w14:textId="77777777" w:rsidR="00514529" w:rsidRPr="00514529" w:rsidRDefault="00514529" w:rsidP="00067B5F">
            <w:pPr>
              <w:keepNext/>
              <w:widowControl w:val="0"/>
              <w:spacing w:before="120" w:after="120"/>
              <w:jc w:val="center"/>
              <w:rPr>
                <w:rFonts w:asciiTheme="majorBidi" w:hAnsiTheme="majorBidi" w:cstheme="majorBidi"/>
                <w:b/>
                <w:bCs/>
              </w:rPr>
            </w:pPr>
            <w:r w:rsidRPr="00514529">
              <w:rPr>
                <w:rFonts w:asciiTheme="majorBidi" w:hAnsiTheme="majorBidi" w:cstheme="majorBidi"/>
                <w:b/>
                <w:bCs/>
              </w:rPr>
              <w:t>Senior Advocate/ Barrister (US$)</w:t>
            </w:r>
          </w:p>
        </w:tc>
      </w:tr>
      <w:tr w:rsidR="00514529" w:rsidRPr="004C1EFE" w14:paraId="3D79EE4C" w14:textId="77777777" w:rsidTr="00FD22C7">
        <w:trPr>
          <w:trHeight w:val="870"/>
        </w:trPr>
        <w:tc>
          <w:tcPr>
            <w:tcW w:w="826" w:type="dxa"/>
            <w:hideMark/>
          </w:tcPr>
          <w:p w14:paraId="59C379A8"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3B1F04B6"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Pre-dispute</w:t>
            </w:r>
          </w:p>
        </w:tc>
        <w:tc>
          <w:tcPr>
            <w:tcW w:w="3260" w:type="dxa"/>
            <w:hideMark/>
          </w:tcPr>
          <w:p w14:paraId="30049C6D"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Preliminary advice on recognition and enforcement strategy, review of Russian judgments and supporting documents</w:t>
            </w:r>
          </w:p>
        </w:tc>
        <w:tc>
          <w:tcPr>
            <w:tcW w:w="1418" w:type="dxa"/>
            <w:hideMark/>
          </w:tcPr>
          <w:p w14:paraId="3BF1C110"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7,000</w:t>
            </w:r>
          </w:p>
        </w:tc>
        <w:tc>
          <w:tcPr>
            <w:tcW w:w="1701" w:type="dxa"/>
            <w:hideMark/>
          </w:tcPr>
          <w:p w14:paraId="448856E2"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Not required</w:t>
            </w:r>
          </w:p>
        </w:tc>
      </w:tr>
      <w:tr w:rsidR="00514529" w:rsidRPr="004C1EFE" w14:paraId="348A4B51" w14:textId="77777777" w:rsidTr="00FD22C7">
        <w:trPr>
          <w:trHeight w:val="1160"/>
        </w:trPr>
        <w:tc>
          <w:tcPr>
            <w:tcW w:w="826" w:type="dxa"/>
            <w:hideMark/>
          </w:tcPr>
          <w:p w14:paraId="09B7BD6B"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vMerge w:val="restart"/>
          </w:tcPr>
          <w:p w14:paraId="68EA633F"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b/>
                <w:bCs/>
              </w:rPr>
              <w:t>Main Proceedings</w:t>
            </w:r>
          </w:p>
        </w:tc>
        <w:tc>
          <w:tcPr>
            <w:tcW w:w="3260" w:type="dxa"/>
            <w:hideMark/>
          </w:tcPr>
          <w:p w14:paraId="02EE5CA1"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Preparation and filing of a suit for seeking recognition and enforcement proceedings together with an application for interim relief, and conduct of the interim proceedings for up to 12 months</w:t>
            </w:r>
          </w:p>
        </w:tc>
        <w:tc>
          <w:tcPr>
            <w:tcW w:w="1418" w:type="dxa"/>
            <w:hideMark/>
          </w:tcPr>
          <w:p w14:paraId="0D643FD1"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60,000–80,000</w:t>
            </w:r>
          </w:p>
        </w:tc>
        <w:tc>
          <w:tcPr>
            <w:tcW w:w="1701" w:type="dxa"/>
            <w:hideMark/>
          </w:tcPr>
          <w:p w14:paraId="59F0F8A9" w14:textId="207B93FF"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30,000</w:t>
            </w:r>
          </w:p>
          <w:p w14:paraId="0C806408" w14:textId="76F2DF52"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i/>
                <w:iCs/>
              </w:rPr>
              <w:t>(for 4 substantive hearings and conferences @ approx. US$ 7,000 per hearing/</w:t>
            </w:r>
            <w:r w:rsidR="00067B5F">
              <w:rPr>
                <w:rFonts w:asciiTheme="majorBidi" w:hAnsiTheme="majorBidi" w:cstheme="majorBidi"/>
                <w:i/>
                <w:iCs/>
              </w:rPr>
              <w:t xml:space="preserve"> </w:t>
            </w:r>
            <w:r w:rsidRPr="00514529">
              <w:rPr>
                <w:rFonts w:asciiTheme="majorBidi" w:hAnsiTheme="majorBidi" w:cstheme="majorBidi"/>
                <w:i/>
                <w:iCs/>
              </w:rPr>
              <w:t>conference)</w:t>
            </w:r>
          </w:p>
        </w:tc>
      </w:tr>
      <w:tr w:rsidR="00514529" w:rsidRPr="004C1EFE" w14:paraId="0E8DB261" w14:textId="77777777" w:rsidTr="00FD22C7">
        <w:trPr>
          <w:trHeight w:val="1160"/>
        </w:trPr>
        <w:tc>
          <w:tcPr>
            <w:tcW w:w="826" w:type="dxa"/>
          </w:tcPr>
          <w:p w14:paraId="3878360C"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vMerge/>
          </w:tcPr>
          <w:p w14:paraId="76BE391B" w14:textId="77777777" w:rsidR="00514529" w:rsidRPr="00514529" w:rsidRDefault="00514529" w:rsidP="00067B5F">
            <w:pPr>
              <w:widowControl w:val="0"/>
              <w:spacing w:before="120" w:after="120"/>
              <w:jc w:val="center"/>
              <w:rPr>
                <w:rFonts w:asciiTheme="majorBidi" w:hAnsiTheme="majorBidi" w:cstheme="majorBidi"/>
              </w:rPr>
            </w:pPr>
          </w:p>
        </w:tc>
        <w:tc>
          <w:tcPr>
            <w:tcW w:w="3260" w:type="dxa"/>
            <w:hideMark/>
          </w:tcPr>
          <w:p w14:paraId="7AA1BD56"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Preparation and filing of an application for summary judgment (if appropriate)</w:t>
            </w:r>
          </w:p>
        </w:tc>
        <w:tc>
          <w:tcPr>
            <w:tcW w:w="1418" w:type="dxa"/>
            <w:hideMark/>
          </w:tcPr>
          <w:p w14:paraId="29E98840"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70,000</w:t>
            </w:r>
          </w:p>
        </w:tc>
        <w:tc>
          <w:tcPr>
            <w:tcW w:w="1701" w:type="dxa"/>
            <w:hideMark/>
          </w:tcPr>
          <w:p w14:paraId="7F1CCA66"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Same as above</w:t>
            </w:r>
          </w:p>
        </w:tc>
      </w:tr>
      <w:tr w:rsidR="00514529" w:rsidRPr="004C1EFE" w14:paraId="54A4F290" w14:textId="77777777" w:rsidTr="00FD22C7">
        <w:trPr>
          <w:trHeight w:val="870"/>
        </w:trPr>
        <w:tc>
          <w:tcPr>
            <w:tcW w:w="826" w:type="dxa"/>
          </w:tcPr>
          <w:p w14:paraId="6D00E883"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56E4C90C"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Appeal Proceedings</w:t>
            </w:r>
          </w:p>
        </w:tc>
        <w:tc>
          <w:tcPr>
            <w:tcW w:w="3260" w:type="dxa"/>
            <w:hideMark/>
          </w:tcPr>
          <w:p w14:paraId="2201BB16"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Appeals challenging any order or judgment passed by the Indian court in Main Proceedings</w:t>
            </w:r>
          </w:p>
        </w:tc>
        <w:tc>
          <w:tcPr>
            <w:tcW w:w="1418" w:type="dxa"/>
            <w:hideMark/>
          </w:tcPr>
          <w:p w14:paraId="3772F9C8"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35,000</w:t>
            </w:r>
          </w:p>
        </w:tc>
        <w:tc>
          <w:tcPr>
            <w:tcW w:w="1701" w:type="dxa"/>
            <w:hideMark/>
          </w:tcPr>
          <w:p w14:paraId="50E54FBD" w14:textId="3FE9535C"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40,000–45,000</w:t>
            </w:r>
          </w:p>
          <w:p w14:paraId="0830D696"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i/>
                <w:iCs/>
              </w:rPr>
              <w:t>(based on approximately 5 substantive hearings and 2 conferences)</w:t>
            </w:r>
          </w:p>
        </w:tc>
      </w:tr>
      <w:tr w:rsidR="00514529" w:rsidRPr="004C1EFE" w14:paraId="31AC81FC" w14:textId="77777777" w:rsidTr="00FD22C7">
        <w:trPr>
          <w:trHeight w:val="290"/>
        </w:trPr>
        <w:tc>
          <w:tcPr>
            <w:tcW w:w="826" w:type="dxa"/>
          </w:tcPr>
          <w:p w14:paraId="56FA4F62"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vMerge w:val="restart"/>
          </w:tcPr>
          <w:p w14:paraId="5BC450F8"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b/>
                <w:bCs/>
              </w:rPr>
              <w:t>Interlocutory Applications</w:t>
            </w:r>
          </w:p>
        </w:tc>
        <w:tc>
          <w:tcPr>
            <w:tcW w:w="3260" w:type="dxa"/>
            <w:hideMark/>
          </w:tcPr>
          <w:p w14:paraId="1563294A"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Preparation and filing of any other interlocutory applications in Main Proceedings or Appeal Proceedings, for any relief (if required)</w:t>
            </w:r>
          </w:p>
        </w:tc>
        <w:tc>
          <w:tcPr>
            <w:tcW w:w="1418" w:type="dxa"/>
            <w:hideMark/>
          </w:tcPr>
          <w:p w14:paraId="1833C4A4"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45,000</w:t>
            </w:r>
          </w:p>
        </w:tc>
        <w:tc>
          <w:tcPr>
            <w:tcW w:w="1701" w:type="dxa"/>
            <w:hideMark/>
          </w:tcPr>
          <w:p w14:paraId="150B895E" w14:textId="752FD353"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21,000</w:t>
            </w:r>
          </w:p>
          <w:p w14:paraId="76A1A10E"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(for 3 substantive hearings and 3 conferences)</w:t>
            </w:r>
          </w:p>
        </w:tc>
      </w:tr>
      <w:tr w:rsidR="00514529" w:rsidRPr="004C1EFE" w14:paraId="01446BB1" w14:textId="77777777" w:rsidTr="00FD22C7">
        <w:trPr>
          <w:trHeight w:val="290"/>
        </w:trPr>
        <w:tc>
          <w:tcPr>
            <w:tcW w:w="826" w:type="dxa"/>
          </w:tcPr>
          <w:p w14:paraId="4203699A"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vMerge/>
          </w:tcPr>
          <w:p w14:paraId="17F7169C" w14:textId="77777777" w:rsidR="00514529" w:rsidRPr="00514529" w:rsidRDefault="00514529" w:rsidP="00067B5F">
            <w:pPr>
              <w:widowControl w:val="0"/>
              <w:spacing w:before="120" w:after="120"/>
              <w:jc w:val="center"/>
              <w:rPr>
                <w:rFonts w:asciiTheme="majorBidi" w:hAnsiTheme="majorBidi" w:cstheme="majorBidi"/>
              </w:rPr>
            </w:pPr>
          </w:p>
        </w:tc>
        <w:tc>
          <w:tcPr>
            <w:tcW w:w="3260" w:type="dxa"/>
          </w:tcPr>
          <w:p w14:paraId="7D2B1418"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 xml:space="preserve">Reply to an interlocutory application filed by the Guarantor or any other defendant </w:t>
            </w:r>
          </w:p>
        </w:tc>
        <w:tc>
          <w:tcPr>
            <w:tcW w:w="1418" w:type="dxa"/>
          </w:tcPr>
          <w:p w14:paraId="78AECA1C"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15,000</w:t>
            </w:r>
          </w:p>
        </w:tc>
        <w:tc>
          <w:tcPr>
            <w:tcW w:w="1701" w:type="dxa"/>
          </w:tcPr>
          <w:p w14:paraId="648C9BDD" w14:textId="46CB0E5D"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US$ 7,000</w:t>
            </w:r>
          </w:p>
        </w:tc>
      </w:tr>
      <w:tr w:rsidR="00514529" w:rsidRPr="004C1EFE" w14:paraId="511234C5" w14:textId="77777777" w:rsidTr="00FD22C7">
        <w:trPr>
          <w:trHeight w:val="290"/>
        </w:trPr>
        <w:tc>
          <w:tcPr>
            <w:tcW w:w="826" w:type="dxa"/>
          </w:tcPr>
          <w:p w14:paraId="38E42930"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240CDFA5"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Asset Search</w:t>
            </w:r>
          </w:p>
        </w:tc>
        <w:tc>
          <w:tcPr>
            <w:tcW w:w="3260" w:type="dxa"/>
          </w:tcPr>
          <w:p w14:paraId="1CEC8DA4"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 xml:space="preserve">In-house search of the Guarantor’s </w:t>
            </w:r>
            <w:r w:rsidRPr="00514529">
              <w:rPr>
                <w:rFonts w:asciiTheme="majorBidi" w:hAnsiTheme="majorBidi" w:cstheme="majorBidi"/>
              </w:rPr>
              <w:lastRenderedPageBreak/>
              <w:t>Indian assets, covering the MCA database (directorships and shareholdings), commercial credit registries, and publicly available records. This search can run parallel to Main Proceedings and Appeal Proceedings</w:t>
            </w:r>
          </w:p>
        </w:tc>
        <w:tc>
          <w:tcPr>
            <w:tcW w:w="1418" w:type="dxa"/>
          </w:tcPr>
          <w:p w14:paraId="3A02981B"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lastRenderedPageBreak/>
              <w:t>10,000</w:t>
            </w:r>
          </w:p>
        </w:tc>
        <w:tc>
          <w:tcPr>
            <w:tcW w:w="1701" w:type="dxa"/>
          </w:tcPr>
          <w:p w14:paraId="1092213F"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i/>
                <w:iCs/>
              </w:rPr>
              <w:t>Not required</w:t>
            </w:r>
          </w:p>
        </w:tc>
      </w:tr>
      <w:tr w:rsidR="00514529" w:rsidRPr="004C1EFE" w14:paraId="49034255" w14:textId="77777777" w:rsidTr="00FD22C7">
        <w:trPr>
          <w:trHeight w:val="290"/>
        </w:trPr>
        <w:tc>
          <w:tcPr>
            <w:tcW w:w="826" w:type="dxa"/>
          </w:tcPr>
          <w:p w14:paraId="427F3CF6"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26528994"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Execution Proceedings</w:t>
            </w:r>
          </w:p>
        </w:tc>
        <w:tc>
          <w:tcPr>
            <w:tcW w:w="3260" w:type="dxa"/>
            <w:hideMark/>
          </w:tcPr>
          <w:p w14:paraId="4774AEEF"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Upon obtaining a decree in the Main Proceedings, execution proceedings may be commenced for attachment of assets, garnishee orders, and examination of the Guarantor as to his means</w:t>
            </w:r>
          </w:p>
        </w:tc>
        <w:tc>
          <w:tcPr>
            <w:tcW w:w="1418" w:type="dxa"/>
            <w:hideMark/>
          </w:tcPr>
          <w:p w14:paraId="6267DB31"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Separate estimate will be provided once the decree is obtained and asset search results are reviewed.</w:t>
            </w:r>
          </w:p>
        </w:tc>
        <w:tc>
          <w:tcPr>
            <w:tcW w:w="1701" w:type="dxa"/>
            <w:hideMark/>
          </w:tcPr>
          <w:p w14:paraId="4550D4DF"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Separate estimate will be provided later</w:t>
            </w:r>
          </w:p>
        </w:tc>
      </w:tr>
      <w:tr w:rsidR="00514529" w:rsidRPr="004C1EFE" w14:paraId="358AF819" w14:textId="77777777" w:rsidTr="00FD22C7">
        <w:trPr>
          <w:trHeight w:val="580"/>
        </w:trPr>
        <w:tc>
          <w:tcPr>
            <w:tcW w:w="826" w:type="dxa"/>
          </w:tcPr>
          <w:p w14:paraId="1D14901F"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38E9B58D"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Personal Insolvency Proceedings</w:t>
            </w:r>
          </w:p>
        </w:tc>
        <w:tc>
          <w:tcPr>
            <w:tcW w:w="3260" w:type="dxa"/>
            <w:hideMark/>
          </w:tcPr>
          <w:p w14:paraId="78E6B637"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Preparation and filing of insolvency petition against the Guarantor under the PIA or to participate in any ongoing PIA proceedings commenced by another creditor in India</w:t>
            </w:r>
          </w:p>
        </w:tc>
        <w:tc>
          <w:tcPr>
            <w:tcW w:w="1418" w:type="dxa"/>
            <w:hideMark/>
          </w:tcPr>
          <w:p w14:paraId="45E94D92"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Separate estimate will be provided later</w:t>
            </w:r>
          </w:p>
        </w:tc>
        <w:tc>
          <w:tcPr>
            <w:tcW w:w="1701" w:type="dxa"/>
            <w:hideMark/>
          </w:tcPr>
          <w:p w14:paraId="2251C1F7"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Separate estimate will be provided later</w:t>
            </w:r>
          </w:p>
        </w:tc>
      </w:tr>
      <w:tr w:rsidR="00514529" w:rsidRPr="004C1EFE" w14:paraId="7A295B67" w14:textId="77777777" w:rsidTr="00FD22C7">
        <w:trPr>
          <w:trHeight w:val="580"/>
        </w:trPr>
        <w:tc>
          <w:tcPr>
            <w:tcW w:w="826" w:type="dxa"/>
          </w:tcPr>
          <w:p w14:paraId="2F5CA8FB" w14:textId="77777777" w:rsidR="00514529" w:rsidRPr="00514529" w:rsidRDefault="00514529" w:rsidP="00067B5F">
            <w:pPr>
              <w:pStyle w:val="ListParagraph"/>
              <w:widowControl w:val="0"/>
              <w:numPr>
                <w:ilvl w:val="0"/>
                <w:numId w:val="54"/>
              </w:numPr>
              <w:spacing w:before="120" w:after="120"/>
              <w:contextualSpacing w:val="0"/>
              <w:jc w:val="center"/>
              <w:rPr>
                <w:rFonts w:asciiTheme="majorBidi" w:hAnsiTheme="majorBidi" w:cstheme="majorBidi"/>
                <w:b/>
                <w:bCs/>
              </w:rPr>
            </w:pPr>
          </w:p>
        </w:tc>
        <w:tc>
          <w:tcPr>
            <w:tcW w:w="1721" w:type="dxa"/>
          </w:tcPr>
          <w:p w14:paraId="10CB6D1E" w14:textId="77777777" w:rsidR="00514529" w:rsidRPr="00514529" w:rsidRDefault="00514529" w:rsidP="00067B5F">
            <w:pPr>
              <w:widowControl w:val="0"/>
              <w:spacing w:before="120" w:after="120"/>
              <w:jc w:val="center"/>
              <w:rPr>
                <w:rFonts w:asciiTheme="majorBidi" w:hAnsiTheme="majorBidi" w:cstheme="majorBidi"/>
                <w:b/>
                <w:bCs/>
              </w:rPr>
            </w:pPr>
            <w:r w:rsidRPr="00514529">
              <w:rPr>
                <w:rFonts w:asciiTheme="majorBidi" w:hAnsiTheme="majorBidi" w:cstheme="majorBidi"/>
                <w:b/>
                <w:bCs/>
              </w:rPr>
              <w:t>Court Monitoring</w:t>
            </w:r>
          </w:p>
        </w:tc>
        <w:tc>
          <w:tcPr>
            <w:tcW w:w="3260" w:type="dxa"/>
            <w:hideMark/>
          </w:tcPr>
          <w:p w14:paraId="6725D9C2" w14:textId="77777777" w:rsidR="00514529" w:rsidRPr="00514529" w:rsidRDefault="00514529" w:rsidP="00067B5F">
            <w:pPr>
              <w:widowControl w:val="0"/>
              <w:spacing w:before="120" w:after="120"/>
              <w:rPr>
                <w:rFonts w:asciiTheme="majorBidi" w:hAnsiTheme="majorBidi" w:cstheme="majorBidi"/>
              </w:rPr>
            </w:pPr>
            <w:r w:rsidRPr="00514529">
              <w:rPr>
                <w:rFonts w:asciiTheme="majorBidi" w:hAnsiTheme="majorBidi" w:cstheme="majorBidi"/>
              </w:rPr>
              <w:t>Periodic monitoring of the relevant Indian courts’ cause lists to identify whether any insolvency proceedings have been commenced against the Guarantor</w:t>
            </w:r>
          </w:p>
        </w:tc>
        <w:tc>
          <w:tcPr>
            <w:tcW w:w="1418" w:type="dxa"/>
            <w:hideMark/>
          </w:tcPr>
          <w:p w14:paraId="321FDAB8" w14:textId="77777777" w:rsidR="00514529" w:rsidRPr="00514529" w:rsidRDefault="00514529" w:rsidP="00067B5F">
            <w:pPr>
              <w:widowControl w:val="0"/>
              <w:spacing w:before="120" w:after="120"/>
              <w:jc w:val="center"/>
              <w:rPr>
                <w:rFonts w:asciiTheme="majorBidi" w:hAnsiTheme="majorBidi" w:cstheme="majorBidi"/>
              </w:rPr>
            </w:pPr>
            <w:r w:rsidRPr="00514529">
              <w:rPr>
                <w:rFonts w:asciiTheme="majorBidi" w:hAnsiTheme="majorBidi" w:cstheme="majorBidi"/>
              </w:rPr>
              <w:t>1,500 per month per proceeding per court</w:t>
            </w:r>
          </w:p>
        </w:tc>
        <w:tc>
          <w:tcPr>
            <w:tcW w:w="1701" w:type="dxa"/>
            <w:hideMark/>
          </w:tcPr>
          <w:p w14:paraId="0B168642" w14:textId="77777777" w:rsidR="00514529" w:rsidRPr="00514529" w:rsidRDefault="00514529" w:rsidP="00067B5F">
            <w:pPr>
              <w:widowControl w:val="0"/>
              <w:spacing w:before="120" w:after="120"/>
              <w:jc w:val="center"/>
              <w:rPr>
                <w:rFonts w:asciiTheme="majorBidi" w:hAnsiTheme="majorBidi" w:cstheme="majorBidi"/>
                <w:i/>
                <w:iCs/>
              </w:rPr>
            </w:pPr>
            <w:r w:rsidRPr="00514529">
              <w:rPr>
                <w:rFonts w:asciiTheme="majorBidi" w:hAnsiTheme="majorBidi" w:cstheme="majorBidi"/>
                <w:i/>
                <w:iCs/>
              </w:rPr>
              <w:t>Not required</w:t>
            </w:r>
          </w:p>
        </w:tc>
      </w:tr>
    </w:tbl>
    <w:p w14:paraId="04A5EAFF" w14:textId="77777777" w:rsidR="00514529" w:rsidRPr="00F00FAC" w:rsidRDefault="00514529" w:rsidP="00514529">
      <w:pPr>
        <w:pStyle w:val="decree"/>
        <w:spacing w:before="120" w:after="120"/>
        <w:rPr>
          <w:lang w:val="en-IN"/>
        </w:rPr>
      </w:pPr>
      <w:r w:rsidRPr="00FD22C7">
        <w:rPr>
          <w:u w:val="single"/>
        </w:rPr>
        <w:t>Court fees</w:t>
      </w:r>
      <w:r>
        <w:t xml:space="preserve">: The </w:t>
      </w:r>
      <w:r w:rsidRPr="00F00FAC">
        <w:t xml:space="preserve">Delhi High Court levies an </w:t>
      </w:r>
      <w:r w:rsidRPr="000A3961">
        <w:rPr>
          <w:i/>
          <w:iCs/>
        </w:rPr>
        <w:t>ad valorem</w:t>
      </w:r>
      <w:r w:rsidRPr="00F00FAC">
        <w:t xml:space="preserve"> filing fee on the suit value, payable at the time of filing. The filing fee for the </w:t>
      </w:r>
      <w:r>
        <w:t>suit, appeal memorandum, and any other applications before the Delhi High Court or other Indian courts</w:t>
      </w:r>
      <w:r w:rsidRPr="00F00FAC">
        <w:t xml:space="preserve"> </w:t>
      </w:r>
      <w:r>
        <w:t>will be</w:t>
      </w:r>
      <w:r w:rsidRPr="00F00FAC">
        <w:t xml:space="preserve"> payable as a disbursement item, separate from our professional fees. The final amount</w:t>
      </w:r>
      <w:r>
        <w:t xml:space="preserve">s for the filing fees (where applicable) </w:t>
      </w:r>
      <w:r w:rsidRPr="00F00FAC">
        <w:t xml:space="preserve">will be confirmed before </w:t>
      </w:r>
      <w:r>
        <w:t>filing for each court document</w:t>
      </w:r>
      <w:r w:rsidRPr="00F00FAC">
        <w:t>.</w:t>
      </w:r>
      <w:r>
        <w:t xml:space="preserve"> </w:t>
      </w:r>
    </w:p>
    <w:p w14:paraId="6C34E225" w14:textId="77777777" w:rsidR="00514529" w:rsidRPr="00F00FAC" w:rsidRDefault="00514529" w:rsidP="00514529">
      <w:pPr>
        <w:pStyle w:val="decree"/>
        <w:spacing w:before="120" w:after="120"/>
      </w:pPr>
      <w:r w:rsidRPr="00F00FAC">
        <w:t xml:space="preserve">Please note that, as explained above, this suit </w:t>
      </w:r>
      <w:r>
        <w:t xml:space="preserve">for enforcement of the Moscow Bankruptcy Decision </w:t>
      </w:r>
      <w:r w:rsidRPr="00F00FAC">
        <w:t>would have to be filed by the Receiver and not GPB. Accordingly, if we are engaged for this scope of work, we would need to enter into a separate agreement with the Receiver.</w:t>
      </w:r>
    </w:p>
    <w:p w14:paraId="43D49768" w14:textId="77777777" w:rsidR="00514529" w:rsidRPr="00F00FAC" w:rsidRDefault="00514529" w:rsidP="00514529">
      <w:pPr>
        <w:pStyle w:val="decree"/>
        <w:spacing w:before="120" w:after="120"/>
      </w:pPr>
      <w:r w:rsidRPr="00F00FAC">
        <w:rPr>
          <w:u w:val="single"/>
        </w:rPr>
        <w:t>Out-of-Pocket Expenses</w:t>
      </w:r>
      <w:r w:rsidRPr="00F00FAC">
        <w:t>: All out-of-pocket expenses are charged on actuals.</w:t>
      </w:r>
    </w:p>
    <w:p w14:paraId="4DC15542" w14:textId="77777777" w:rsidR="00514529" w:rsidRPr="00F00FAC" w:rsidRDefault="00514529" w:rsidP="00514529">
      <w:pPr>
        <w:pStyle w:val="decree"/>
        <w:spacing w:before="120" w:after="120"/>
      </w:pPr>
      <w:r w:rsidRPr="00F00FAC">
        <w:rPr>
          <w:u w:val="single"/>
        </w:rPr>
        <w:t>Adverse costs</w:t>
      </w:r>
      <w:r w:rsidRPr="00F00FAC">
        <w:t>: As in all contested Indian commercial litigation of this scale, there is a possibility that the Delhi High Court may award costs against a party at various stages of the proceedings; this exposure cannot be estimated at this stage but should be factored into the Bank's overall litigation budget.</w:t>
      </w:r>
    </w:p>
    <w:p w14:paraId="342A7F2D" w14:textId="0CF0B513" w:rsidR="00AB14FB" w:rsidRDefault="00514529" w:rsidP="00514529">
      <w:pPr>
        <w:pStyle w:val="decree"/>
        <w:spacing w:before="120" w:after="120"/>
      </w:pPr>
      <w:r w:rsidRPr="00F00FAC">
        <w:t>The above estimates are preliminary and remain subject to revision following review of the full Russian court record and further assessment of the Guarantor’s assets and the scope of proceedings required in India.</w:t>
      </w:r>
    </w:p>
    <w:p w14:paraId="383BD3D7" w14:textId="2D7C24BA" w:rsidR="00CB0B10" w:rsidRPr="00F00FAC" w:rsidRDefault="00CB0B10" w:rsidP="00CB0B10">
      <w:pPr>
        <w:pStyle w:val="decree"/>
        <w:numPr>
          <w:ilvl w:val="0"/>
          <w:numId w:val="0"/>
        </w:numPr>
        <w:spacing w:before="120" w:after="120"/>
        <w:ind w:left="360" w:hanging="360"/>
        <w:jc w:val="center"/>
      </w:pPr>
      <w:r>
        <w:t>***</w:t>
      </w:r>
    </w:p>
    <w:p w14:paraId="18D7E47A" w14:textId="7979C00B" w:rsidR="00A23A1C" w:rsidRPr="00F00FAC" w:rsidRDefault="00A23A1C" w:rsidP="00CC4B5E">
      <w:pPr>
        <w:pStyle w:val="ListParagraph"/>
        <w:widowControl w:val="0"/>
        <w:ind w:left="360"/>
        <w:contextualSpacing w:val="0"/>
        <w:jc w:val="center"/>
      </w:pPr>
    </w:p>
    <w:sectPr w:rsidR="00A23A1C" w:rsidRPr="00F00FAC" w:rsidSect="007D3474">
      <w:headerReference w:type="default" r:id="rId8"/>
      <w:footerReference w:type="default" r:id="rId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921F" w14:textId="77777777" w:rsidR="00627E33" w:rsidRPr="00900DB6" w:rsidRDefault="00627E33" w:rsidP="00F46601">
      <w:pPr>
        <w:spacing w:before="0" w:after="0" w:line="240" w:lineRule="auto"/>
      </w:pPr>
      <w:r w:rsidRPr="00900DB6">
        <w:separator/>
      </w:r>
    </w:p>
  </w:endnote>
  <w:endnote w:type="continuationSeparator" w:id="0">
    <w:p w14:paraId="2DE8655B" w14:textId="77777777" w:rsidR="00627E33" w:rsidRPr="00900DB6" w:rsidRDefault="00627E33" w:rsidP="00F46601">
      <w:pPr>
        <w:spacing w:before="0" w:after="0" w:line="240" w:lineRule="auto"/>
      </w:pPr>
      <w:r w:rsidRPr="00900D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660060"/>
      <w:docPartObj>
        <w:docPartGallery w:val="Page Numbers (Bottom of Page)"/>
        <w:docPartUnique/>
      </w:docPartObj>
    </w:sdtPr>
    <w:sdtContent>
      <w:p w14:paraId="5A85FCEC" w14:textId="33CDD489" w:rsidR="00A204C2" w:rsidRPr="00900DB6" w:rsidRDefault="00A204C2" w:rsidP="00A204C2">
        <w:pPr>
          <w:pStyle w:val="Footer"/>
          <w:jc w:val="center"/>
        </w:pPr>
        <w:r w:rsidRPr="00900DB6">
          <w:fldChar w:fldCharType="begin"/>
        </w:r>
        <w:r w:rsidRPr="00900DB6">
          <w:instrText xml:space="preserve"> PAGE   \* MERGEFORMAT </w:instrText>
        </w:r>
        <w:r w:rsidRPr="00900DB6">
          <w:fldChar w:fldCharType="separate"/>
        </w:r>
        <w:r w:rsidRPr="00900DB6">
          <w:t>2</w:t>
        </w:r>
        <w:r w:rsidRPr="00900DB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EA6B" w14:textId="77777777" w:rsidR="00627E33" w:rsidRPr="00900DB6" w:rsidRDefault="00627E33" w:rsidP="00F46601">
      <w:pPr>
        <w:spacing w:before="0" w:after="0" w:line="240" w:lineRule="auto"/>
      </w:pPr>
      <w:r w:rsidRPr="00900DB6">
        <w:separator/>
      </w:r>
    </w:p>
  </w:footnote>
  <w:footnote w:type="continuationSeparator" w:id="0">
    <w:p w14:paraId="166E76A8" w14:textId="77777777" w:rsidR="00627E33" w:rsidRPr="00900DB6" w:rsidRDefault="00627E33" w:rsidP="00F46601">
      <w:pPr>
        <w:spacing w:before="0" w:after="0" w:line="240" w:lineRule="auto"/>
      </w:pPr>
      <w:r w:rsidRPr="00900DB6">
        <w:continuationSeparator/>
      </w:r>
    </w:p>
  </w:footnote>
  <w:footnote w:id="1">
    <w:p w14:paraId="7F3F640D" w14:textId="24F8832D" w:rsidR="00756CA7" w:rsidRPr="00756CA7" w:rsidRDefault="00756CA7">
      <w:pPr>
        <w:pStyle w:val="FootnoteText"/>
      </w:pPr>
      <w:r>
        <w:rPr>
          <w:rStyle w:val="FootnoteReference"/>
        </w:rPr>
        <w:footnoteRef/>
      </w:r>
      <w:r>
        <w:t xml:space="preserve"> </w:t>
      </w:r>
      <w:r w:rsidRPr="00367861">
        <w:rPr>
          <w:rFonts w:eastAsia="Calibri"/>
        </w:rPr>
        <w:t>We note that a “K. Rzayev” (referred to in GPB’s email dated 21 May 2026) may also be a guarantor to these loans with joint and several liability. We have not considered K. Rzayev’s position in this memorandum, as this presently does not appear relevant to recovery efforts against Mr Sood.</w:t>
      </w:r>
    </w:p>
  </w:footnote>
  <w:footnote w:id="2">
    <w:p w14:paraId="21033242" w14:textId="77777777" w:rsidR="0029633E" w:rsidRPr="00A609AF" w:rsidRDefault="0029633E" w:rsidP="0029633E">
      <w:pPr>
        <w:pStyle w:val="FootnoteText"/>
      </w:pPr>
      <w:r>
        <w:rPr>
          <w:rStyle w:val="FootnoteReference"/>
        </w:rPr>
        <w:footnoteRef/>
      </w:r>
      <w:r>
        <w:t xml:space="preserve"> </w:t>
      </w:r>
      <w:r w:rsidRPr="00C25E18">
        <w:t>India does not presently provide a direct statutory route for recognition of the Russian bankruptcy process or automatic recognition of the Receiver’s powers. The cross-border insolvency provisions under the Insolvency and Bankruptcy Code, 2016 (“</w:t>
      </w:r>
      <w:r w:rsidRPr="00C25E18">
        <w:rPr>
          <w:b/>
          <w:bCs/>
        </w:rPr>
        <w:t>IBC</w:t>
      </w:r>
      <w:r w:rsidRPr="00C25E18">
        <w:t>”), which is the principal bankruptcy legislation in India, are not presently operational in a manner that would be of immediate assistance to GPB</w:t>
      </w:r>
      <w:r w:rsidRPr="009B1329">
        <w:t>.</w:t>
      </w:r>
      <w:r>
        <w:t xml:space="preserve"> </w:t>
      </w:r>
      <w:r w:rsidRPr="00E7539C">
        <w:t xml:space="preserve"> </w:t>
      </w:r>
      <w:r w:rsidRPr="009B1329">
        <w:t>There is also no direct execution route for Russian court decisions in India, because Russia is not a notified “reciprocating territory” under Section 44-A of the Code of Civil Procedure, 1908 (“</w:t>
      </w:r>
      <w:r w:rsidRPr="009B1329">
        <w:rPr>
          <w:b/>
          <w:bCs/>
        </w:rPr>
        <w:t>CPC</w:t>
      </w:r>
      <w:r w:rsidRPr="009B1329">
        <w:t>”).</w:t>
      </w:r>
    </w:p>
  </w:footnote>
  <w:footnote w:id="3">
    <w:p w14:paraId="6521E7DA" w14:textId="5E5C6AD3" w:rsidR="0029633E" w:rsidRPr="00C939DA" w:rsidRDefault="0029633E" w:rsidP="0029633E">
      <w:pPr>
        <w:pStyle w:val="FootnoteText"/>
      </w:pPr>
      <w:r>
        <w:rPr>
          <w:rStyle w:val="FootnoteReference"/>
        </w:rPr>
        <w:footnoteRef/>
      </w:r>
      <w:r>
        <w:t xml:space="preserve"> Section 13 of the CPC</w:t>
      </w:r>
      <w:r w:rsidRPr="00F00FAC">
        <w:t>:</w:t>
      </w:r>
      <w:r>
        <w:t xml:space="preserve"> “</w:t>
      </w:r>
      <w:r w:rsidRPr="0029633E">
        <w:rPr>
          <w:i/>
          <w:iCs/>
        </w:rPr>
        <w:t xml:space="preserve">A foreign judgment shall be conclusive as to any matter thereby directly adjudicated upon between the same parties or between parties under whom they or any of them claim litigating under the same title </w:t>
      </w:r>
      <w:r w:rsidRPr="0029633E">
        <w:rPr>
          <w:i/>
          <w:iCs/>
          <w:u w:val="single"/>
        </w:rPr>
        <w:t>except</w:t>
      </w:r>
      <w:r w:rsidRPr="0029633E">
        <w:rPr>
          <w:i/>
          <w:iCs/>
        </w:rPr>
        <w:t xml:space="preserve"> (a) where it has not been pronounced by a Court of competent jurisdiction; (b) </w:t>
      </w:r>
      <w:r w:rsidRPr="0029633E">
        <w:rPr>
          <w:i/>
          <w:iCs/>
          <w14:ligatures w14:val="standardContextual"/>
        </w:rPr>
        <w:t>where it has not been given on the merits of the case; (c) where it appears on the face of the proceedings to be founded on an incorrect view of international law or a refusal to recognise the law of India in cases in which such law is applicable; (d) where the proceedings in which the judgment was obtained are opposed to natural justice; (e) where it has been obtained by fraud; and (f) where it sustains a claim founded on a breach of any law in force in India.</w:t>
      </w:r>
      <w:r>
        <w:rPr>
          <w14:ligatures w14:val="standardContextual"/>
        </w:rPr>
        <w:t>” This is read with Section 14 of the CPC: “</w:t>
      </w:r>
      <w:r w:rsidRPr="0029633E">
        <w:rPr>
          <w:i/>
          <w:iCs/>
          <w14:ligatures w14:val="standardContextual"/>
        </w:rPr>
        <w:t>The Court shall presume upon the production of any document purporting to be a certified copy of a foreign judgment, that such judgment was pronounced by a Court of competent jurisdiction, unless the contrary appears on the record; but such presumption may be displaced by proving want of jurisdiction</w:t>
      </w:r>
      <w:r w:rsidRPr="0029633E">
        <w:rPr>
          <w14:ligatures w14:val="standardContextual"/>
        </w:rPr>
        <w:t>.</w:t>
      </w:r>
      <w:r>
        <w:rPr>
          <w14:ligatures w14:val="standardContextual"/>
        </w:rPr>
        <w:t>”</w:t>
      </w:r>
    </w:p>
  </w:footnote>
  <w:footnote w:id="4">
    <w:p w14:paraId="19A8B91A" w14:textId="77777777" w:rsidR="00C939DA" w:rsidRPr="00110718" w:rsidRDefault="00C939DA" w:rsidP="00C939DA">
      <w:pPr>
        <w:pStyle w:val="FootnoteText"/>
        <w:rPr>
          <w:lang w:val="en-IN"/>
        </w:rPr>
      </w:pPr>
      <w:r>
        <w:rPr>
          <w:rStyle w:val="FootnoteReference"/>
        </w:rPr>
        <w:footnoteRef/>
      </w:r>
      <w:r>
        <w:t xml:space="preserve"> </w:t>
      </w:r>
      <w:r w:rsidRPr="00110718">
        <w:t xml:space="preserve">Commercial Suit (L) No. 42160 of 2025 </w:t>
      </w:r>
      <w:r>
        <w:t>filed before the Hon’ble Bombay High Court</w:t>
      </w:r>
    </w:p>
  </w:footnote>
  <w:footnote w:id="5">
    <w:p w14:paraId="7C34EC6A" w14:textId="579C7EDE" w:rsidR="00C939DA" w:rsidRPr="0066283F" w:rsidRDefault="00C939DA" w:rsidP="00C939DA">
      <w:pPr>
        <w:pStyle w:val="FootnoteText"/>
        <w:rPr>
          <w:lang w:val="en-IN"/>
        </w:rPr>
      </w:pPr>
      <w:r>
        <w:rPr>
          <w:rStyle w:val="FootnoteReference"/>
        </w:rPr>
        <w:footnoteRef/>
      </w:r>
      <w:r>
        <w:t xml:space="preserve"> </w:t>
      </w:r>
      <w:r w:rsidRPr="002E55BA">
        <w:rPr>
          <w:i/>
        </w:rPr>
        <w:t xml:space="preserve">Toshiaki </w:t>
      </w:r>
      <w:proofErr w:type="spellStart"/>
      <w:r w:rsidRPr="002E55BA">
        <w:rPr>
          <w:i/>
        </w:rPr>
        <w:t>Aiba</w:t>
      </w:r>
      <w:proofErr w:type="spellEnd"/>
      <w:r w:rsidRPr="002E55BA">
        <w:rPr>
          <w:i/>
        </w:rPr>
        <w:t xml:space="preserve"> as Bankruptcy Trustee of the Estate of Vipan Kumar Sharma v. Vipan Kumar Sharma and </w:t>
      </w:r>
      <w:proofErr w:type="spellStart"/>
      <w:r w:rsidRPr="002E55BA">
        <w:rPr>
          <w:i/>
        </w:rPr>
        <w:t>Anr</w:t>
      </w:r>
      <w:proofErr w:type="spellEnd"/>
      <w:r w:rsidRPr="002E55BA">
        <w:rPr>
          <w:i/>
        </w:rPr>
        <w:t>.</w:t>
      </w:r>
      <w:r w:rsidRPr="002E55BA">
        <w:t xml:space="preserve">, 2022 SCC </w:t>
      </w:r>
      <w:proofErr w:type="spellStart"/>
      <w:r w:rsidRPr="002E55BA">
        <w:t>OnLine</w:t>
      </w:r>
      <w:proofErr w:type="spellEnd"/>
      <w:r w:rsidRPr="002E55BA">
        <w:t xml:space="preserve"> Del 1260 (“</w:t>
      </w:r>
      <w:r w:rsidRPr="002E55BA">
        <w:rPr>
          <w:b/>
          <w:bCs/>
          <w:i/>
          <w:iCs/>
        </w:rPr>
        <w:t>Toshiaki</w:t>
      </w:r>
      <w:r w:rsidRPr="002E55BA">
        <w:t>”)</w:t>
      </w:r>
      <w:r>
        <w:t>, see [4],</w:t>
      </w:r>
      <w:r w:rsidRPr="009B1329">
        <w:t xml:space="preserve"> </w:t>
      </w:r>
      <w:r>
        <w:t>[18], [23]</w:t>
      </w:r>
      <w:r w:rsidRPr="00C939DA">
        <w:rPr>
          <w:i/>
          <w:iCs/>
          <w:lang w:val="en-IN"/>
        </w:rPr>
        <w:t xml:space="preserve"> </w:t>
      </w:r>
      <w:r w:rsidRPr="00C73EAA">
        <w:rPr>
          <w:i/>
          <w:iCs/>
          <w:lang w:val="en-IN"/>
        </w:rPr>
        <w:t>Toshiaki</w:t>
      </w:r>
      <w:r>
        <w:rPr>
          <w:i/>
          <w:iCs/>
          <w:lang w:val="en-IN"/>
        </w:rPr>
        <w:t xml:space="preserve">; </w:t>
      </w:r>
      <w:r w:rsidRPr="0074011E">
        <w:rPr>
          <w:lang w:val="en-IN"/>
        </w:rPr>
        <w:t>at</w:t>
      </w:r>
      <w:r>
        <w:rPr>
          <w:lang w:val="en-IN"/>
        </w:rPr>
        <w:t xml:space="preserve"> [26], </w:t>
      </w:r>
      <w:r w:rsidRPr="0074011E">
        <w:rPr>
          <w:i/>
          <w:iCs/>
          <w:lang w:val="en-IN"/>
        </w:rPr>
        <w:t>Toshiaki</w:t>
      </w:r>
      <w:r>
        <w:t xml:space="preserve"> the Court noted: </w:t>
      </w:r>
      <w:r w:rsidRPr="008F14A6">
        <w:rPr>
          <w:rFonts w:asciiTheme="majorHAnsi" w:hAnsiTheme="majorHAnsi" w:cstheme="majorHAnsi"/>
        </w:rPr>
        <w:t>“</w:t>
      </w:r>
      <w:r w:rsidRPr="0074011E">
        <w:rPr>
          <w:rFonts w:asciiTheme="majorHAnsi" w:hAnsiTheme="majorHAnsi" w:cstheme="majorHAnsi"/>
          <w:i/>
          <w:iCs/>
        </w:rPr>
        <w:t>there is no reason why a person who has been declared bankrupt by a foreign court in terms of the law applicable to that jurisdiction, should be afforded protection by the Indian Courts on technical objections being raised about the validity of the foreign judgment</w:t>
      </w:r>
      <w:r w:rsidRPr="008F14A6">
        <w:rPr>
          <w:rFonts w:asciiTheme="majorHAnsi" w:hAnsiTheme="majorHAnsi" w:cstheme="majorHAnsi"/>
        </w:rPr>
        <w:t>”.</w:t>
      </w:r>
      <w:r>
        <w:t>”</w:t>
      </w:r>
    </w:p>
  </w:footnote>
  <w:footnote w:id="6">
    <w:p w14:paraId="26DEABD8" w14:textId="77777777" w:rsidR="00C939DA" w:rsidRPr="0023755B" w:rsidRDefault="00C939DA" w:rsidP="00C939DA">
      <w:pPr>
        <w:pStyle w:val="FootnoteText"/>
        <w:rPr>
          <w:lang w:val="en-IN"/>
        </w:rPr>
      </w:pPr>
      <w:r>
        <w:rPr>
          <w:rStyle w:val="FootnoteReference"/>
        </w:rPr>
        <w:footnoteRef/>
      </w:r>
      <w:r>
        <w:t xml:space="preserve"> </w:t>
      </w:r>
      <w:r w:rsidRPr="0023755B">
        <w:rPr>
          <w:lang w:val="en-IN"/>
        </w:rPr>
        <w:t>CCCA No.47 of 2021 and CCCA No.48 of 2021 dated 24 March 2023</w:t>
      </w:r>
      <w:r>
        <w:rPr>
          <w:lang w:val="en-IN"/>
        </w:rPr>
        <w:t xml:space="preserve"> (“</w:t>
      </w:r>
      <w:r w:rsidRPr="003F1DDC">
        <w:rPr>
          <w:b/>
          <w:bCs/>
          <w:i/>
          <w:iCs/>
          <w:lang w:val="en-IN"/>
        </w:rPr>
        <w:t>Mahmood Hussain</w:t>
      </w:r>
      <w:r>
        <w:rPr>
          <w:lang w:val="en-IN"/>
        </w:rPr>
        <w:t>”), see [42]</w:t>
      </w:r>
    </w:p>
  </w:footnote>
  <w:footnote w:id="7">
    <w:p w14:paraId="5C89227C" w14:textId="77777777" w:rsidR="002C124B" w:rsidRPr="002C124B" w:rsidRDefault="002C124B" w:rsidP="002C124B">
      <w:pPr>
        <w:pStyle w:val="FootnoteText"/>
      </w:pPr>
      <w:r>
        <w:rPr>
          <w:rStyle w:val="FootnoteReference"/>
        </w:rPr>
        <w:footnoteRef/>
      </w:r>
      <w:r>
        <w:t xml:space="preserve"> </w:t>
      </w:r>
      <w:r w:rsidRPr="002C124B">
        <w:t>Order 38, Rule 5 of the CPC</w:t>
      </w:r>
    </w:p>
  </w:footnote>
  <w:footnote w:id="8">
    <w:p w14:paraId="13FCD148" w14:textId="77777777" w:rsidR="002C124B" w:rsidRPr="002C124B" w:rsidRDefault="002C124B" w:rsidP="002C124B">
      <w:pPr>
        <w:pStyle w:val="FootnoteText"/>
      </w:pPr>
      <w:r>
        <w:rPr>
          <w:rStyle w:val="FootnoteReference"/>
        </w:rPr>
        <w:footnoteRef/>
      </w:r>
      <w:r>
        <w:t xml:space="preserve"> </w:t>
      </w:r>
      <w:r w:rsidRPr="002C124B">
        <w:t>Order 39 of the CPC</w:t>
      </w:r>
    </w:p>
  </w:footnote>
  <w:footnote w:id="9">
    <w:p w14:paraId="64F56FA6" w14:textId="77777777" w:rsidR="002C124B" w:rsidRPr="00EF45A4" w:rsidRDefault="002C124B" w:rsidP="002C124B">
      <w:pPr>
        <w:pStyle w:val="FootnoteText"/>
        <w:rPr>
          <w:lang w:val="en-IN"/>
        </w:rPr>
      </w:pPr>
      <w:r>
        <w:rPr>
          <w:rStyle w:val="FootnoteReference"/>
        </w:rPr>
        <w:footnoteRef/>
      </w:r>
      <w:r>
        <w:t xml:space="preserve"> </w:t>
      </w:r>
      <w:r w:rsidRPr="002C124B">
        <w:t>Order 40 of the CPC</w:t>
      </w:r>
      <w:r>
        <w:t xml:space="preserve">; </w:t>
      </w:r>
      <w:r w:rsidRPr="00E52A08">
        <w:rPr>
          <w:lang w:val="en-IN"/>
        </w:rPr>
        <w:t>Receivership may also be directed at the enforcement stage, but here it is described as a pre</w:t>
      </w:r>
      <w:r w:rsidRPr="00E52A08">
        <w:rPr>
          <w:lang w:val="en-IN"/>
        </w:rPr>
        <w:noBreakHyphen/>
        <w:t>decree safeguard.</w:t>
      </w:r>
    </w:p>
  </w:footnote>
  <w:footnote w:id="10">
    <w:p w14:paraId="17684A2E" w14:textId="77777777" w:rsidR="00FB1862" w:rsidRPr="00EF45A4" w:rsidRDefault="00FB1862" w:rsidP="00FB1862">
      <w:pPr>
        <w:pStyle w:val="FootnoteText"/>
        <w:rPr>
          <w:lang w:val="en-IN"/>
        </w:rPr>
      </w:pPr>
      <w:r>
        <w:rPr>
          <w:rStyle w:val="FootnoteReference"/>
        </w:rPr>
        <w:footnoteRef/>
      </w:r>
      <w:r>
        <w:t xml:space="preserve"> </w:t>
      </w:r>
      <w:r w:rsidRPr="00E52A08">
        <w:rPr>
          <w:lang w:val="en-IN"/>
        </w:rPr>
        <w:t xml:space="preserve">Discovery (Order 11 </w:t>
      </w:r>
      <w:r>
        <w:rPr>
          <w:lang w:val="en-IN"/>
        </w:rPr>
        <w:t xml:space="preserve">of the </w:t>
      </w:r>
      <w:r w:rsidRPr="00E52A08">
        <w:rPr>
          <w:lang w:val="en-IN"/>
        </w:rPr>
        <w:t>CPC) and interrogatories (Order 11 Rule 1</w:t>
      </w:r>
      <w:r>
        <w:rPr>
          <w:lang w:val="en-IN"/>
        </w:rPr>
        <w:t xml:space="preserve"> of the CPC</w:t>
      </w:r>
      <w:r w:rsidRPr="00E52A08">
        <w:rPr>
          <w:lang w:val="en-IN"/>
        </w:rPr>
        <w:t xml:space="preserve">) are generally </w:t>
      </w:r>
      <w:r>
        <w:rPr>
          <w:lang w:val="en-IN"/>
        </w:rPr>
        <w:t>stages of a civil suit which can be undertaken with the court’s permission, once the</w:t>
      </w:r>
      <w:r w:rsidRPr="00E52A08">
        <w:rPr>
          <w:lang w:val="en-IN"/>
        </w:rPr>
        <w:t xml:space="preserve"> pleadings </w:t>
      </w:r>
      <w:r>
        <w:rPr>
          <w:lang w:val="en-IN"/>
        </w:rPr>
        <w:t xml:space="preserve">are filed </w:t>
      </w:r>
      <w:r w:rsidRPr="00E52A08">
        <w:rPr>
          <w:lang w:val="en-IN"/>
        </w:rPr>
        <w:t xml:space="preserve">and issues are framed. </w:t>
      </w:r>
      <w:r>
        <w:rPr>
          <w:lang w:val="en-IN"/>
        </w:rPr>
        <w:t>Typically, c</w:t>
      </w:r>
      <w:r w:rsidRPr="00E52A08">
        <w:rPr>
          <w:lang w:val="en-IN"/>
        </w:rPr>
        <w:t xml:space="preserve">ourts are cautious about using these tools solely to compel asset disclosure </w:t>
      </w:r>
      <w:r>
        <w:rPr>
          <w:lang w:val="en-IN"/>
        </w:rPr>
        <w:t xml:space="preserve">before the suit is disposed of. Hence, the best possible route for seeking disclosure of Guarantor’s assets would be in execution proceedings, filed for execution of the order enforcing and recognising the Moscow Bankruptcy Decision. </w:t>
      </w:r>
    </w:p>
  </w:footnote>
  <w:footnote w:id="11">
    <w:p w14:paraId="4ED1741D" w14:textId="77777777" w:rsidR="00FB1862" w:rsidRPr="00FB1862" w:rsidRDefault="00FB1862" w:rsidP="00FB1862">
      <w:pPr>
        <w:pStyle w:val="FootnoteText"/>
      </w:pPr>
      <w:r>
        <w:rPr>
          <w:rStyle w:val="FootnoteReference"/>
        </w:rPr>
        <w:footnoteRef/>
      </w:r>
      <w:r>
        <w:t xml:space="preserve"> </w:t>
      </w:r>
      <w:r w:rsidRPr="00FB1862">
        <w:t>Order 21 Rule 41 of the CPC</w:t>
      </w:r>
      <w:r>
        <w:t>.</w:t>
      </w:r>
    </w:p>
  </w:footnote>
  <w:footnote w:id="12">
    <w:p w14:paraId="06224D2B" w14:textId="0DC16639" w:rsidR="005B2A3F" w:rsidRPr="005B2A3F" w:rsidRDefault="005B2A3F" w:rsidP="005B2A3F">
      <w:pPr>
        <w:pStyle w:val="FootnoteText"/>
      </w:pPr>
      <w:r>
        <w:rPr>
          <w:rStyle w:val="FootnoteReference"/>
        </w:rPr>
        <w:footnoteRef/>
      </w:r>
      <w:r>
        <w:t xml:space="preserve"> </w:t>
      </w:r>
      <w:r w:rsidRPr="005B2A3F">
        <w:t>Execution of decrees is governed by Order 21 CPC, including attachment and sale of property and garnishee-type relief against debts owed to the judgment debtor.</w:t>
      </w:r>
    </w:p>
  </w:footnote>
  <w:footnote w:id="13">
    <w:p w14:paraId="5746A4C0" w14:textId="77777777" w:rsidR="00FB1862" w:rsidRPr="00CE6293" w:rsidRDefault="00FB1862" w:rsidP="00FB1862">
      <w:pPr>
        <w:pStyle w:val="FootnoteText"/>
        <w:rPr>
          <w:lang w:val="en-IN"/>
        </w:rPr>
      </w:pPr>
      <w:r>
        <w:rPr>
          <w:rStyle w:val="FootnoteReference"/>
        </w:rPr>
        <w:footnoteRef/>
      </w:r>
      <w:r>
        <w:t xml:space="preserve"> </w:t>
      </w:r>
      <w:r w:rsidRPr="00CE6293">
        <w:t>Order 21, Rule 64</w:t>
      </w:r>
      <w:r>
        <w:t xml:space="preserve"> of the CPC</w:t>
      </w:r>
    </w:p>
  </w:footnote>
  <w:footnote w:id="14">
    <w:p w14:paraId="1C5A0FA5" w14:textId="77777777" w:rsidR="00064D0E" w:rsidRPr="00EF45A4" w:rsidRDefault="00064D0E" w:rsidP="00064D0E">
      <w:pPr>
        <w:pStyle w:val="FootnoteText"/>
        <w:rPr>
          <w:lang w:val="en-IN"/>
        </w:rPr>
      </w:pPr>
      <w:r>
        <w:rPr>
          <w:rStyle w:val="FootnoteReference"/>
        </w:rPr>
        <w:footnoteRef/>
      </w:r>
      <w:r>
        <w:t xml:space="preserve"> </w:t>
      </w:r>
      <w:r>
        <w:rPr>
          <w:lang w:val="en-IN"/>
        </w:rPr>
        <w:t>Sections 16 to 20 of the CPC</w:t>
      </w:r>
    </w:p>
  </w:footnote>
  <w:footnote w:id="15">
    <w:p w14:paraId="119C99F4" w14:textId="68D082A0" w:rsidR="005B2A3F" w:rsidRPr="005B2A3F" w:rsidRDefault="005B2A3F">
      <w:pPr>
        <w:pStyle w:val="FootnoteText"/>
      </w:pPr>
      <w:r>
        <w:rPr>
          <w:rStyle w:val="FootnoteReference"/>
        </w:rPr>
        <w:footnoteRef/>
      </w:r>
      <w:r>
        <w:t xml:space="preserve"> Notably, this was the approach in </w:t>
      </w:r>
      <w:r w:rsidRPr="00082743">
        <w:rPr>
          <w:i/>
          <w:iCs/>
        </w:rPr>
        <w:t>Toshiaki</w:t>
      </w:r>
      <w:r w:rsidRPr="00082743">
        <w:t xml:space="preserve">. </w:t>
      </w:r>
      <w:r>
        <w:t>There,</w:t>
      </w:r>
      <w:r w:rsidRPr="00082743">
        <w:t xml:space="preserve"> the trustee identified immovable properties in New Delhi, which were alleged to form part of the bankruptcy estate under Japanese bankruptcy law, and sought express declarations and injunctions in relation to those properties. This provided the necessary jurisdictional hook because the </w:t>
      </w:r>
      <w:r>
        <w:t>“</w:t>
      </w:r>
      <w:r w:rsidRPr="00082743">
        <w:t>subject matter of the suit</w:t>
      </w:r>
      <w:r>
        <w:t>”</w:t>
      </w:r>
      <w:r w:rsidRPr="00082743">
        <w:t xml:space="preserve"> lay in Delhi.</w:t>
      </w:r>
    </w:p>
  </w:footnote>
  <w:footnote w:id="16">
    <w:p w14:paraId="0BA29B95" w14:textId="77777777" w:rsidR="00064D0E" w:rsidRPr="000B1A20" w:rsidRDefault="00064D0E" w:rsidP="00064D0E">
      <w:pPr>
        <w:pStyle w:val="FootnoteText"/>
        <w:rPr>
          <w:lang w:val="en-IN"/>
        </w:rPr>
      </w:pPr>
      <w:r>
        <w:rPr>
          <w:rStyle w:val="FootnoteReference"/>
        </w:rPr>
        <w:footnoteRef/>
      </w:r>
      <w:r>
        <w:t xml:space="preserve"> </w:t>
      </w:r>
      <w:r w:rsidRPr="000B1A20">
        <w:t xml:space="preserve">Section 12(2), Commercial Courts Act, 2015; </w:t>
      </w:r>
      <w:r>
        <w:t>Section 5(2), Delhi High Court Act, 1966 (as amended by the Delhi High Court (Amendment) Act, 2015)</w:t>
      </w:r>
    </w:p>
  </w:footnote>
  <w:footnote w:id="17">
    <w:p w14:paraId="7FEF5FB6" w14:textId="77777777" w:rsidR="00064D0E" w:rsidRPr="00EF45A4" w:rsidRDefault="00064D0E" w:rsidP="00064D0E">
      <w:pPr>
        <w:pStyle w:val="FootnoteText"/>
        <w:rPr>
          <w:lang w:val="en-IN"/>
        </w:rPr>
      </w:pPr>
      <w:r>
        <w:rPr>
          <w:rStyle w:val="FootnoteReference"/>
        </w:rPr>
        <w:footnoteRef/>
      </w:r>
      <w:r>
        <w:t xml:space="preserve"> </w:t>
      </w:r>
      <w:r w:rsidRPr="00064D0E">
        <w:t xml:space="preserve">In </w:t>
      </w:r>
      <w:r w:rsidRPr="00064D0E">
        <w:rPr>
          <w:i/>
          <w:iCs/>
        </w:rPr>
        <w:t>Toshiaki</w:t>
      </w:r>
      <w:r w:rsidRPr="00064D0E">
        <w:t>, the Delhi High Court treated the debtor’s loan obligations towards foreign creditors as the relevant subject matter and held that the suit qualified as a commercial dispute</w:t>
      </w:r>
      <w:r>
        <w:t xml:space="preserve">: see </w:t>
      </w:r>
      <w:r>
        <w:rPr>
          <w:lang w:val="en-IN"/>
        </w:rPr>
        <w:t xml:space="preserve">[13], </w:t>
      </w:r>
      <w:r w:rsidRPr="00EF45A4">
        <w:rPr>
          <w:i/>
          <w:iCs/>
          <w:lang w:val="en-IN"/>
        </w:rPr>
        <w:t>Toshiaki</w:t>
      </w:r>
    </w:p>
  </w:footnote>
  <w:footnote w:id="18">
    <w:p w14:paraId="3310692B" w14:textId="77777777" w:rsidR="00064D0E" w:rsidRPr="00C56F8D" w:rsidRDefault="00064D0E" w:rsidP="00064D0E">
      <w:pPr>
        <w:pStyle w:val="FootnoteText"/>
        <w:rPr>
          <w:lang w:val="en-IN"/>
        </w:rPr>
      </w:pPr>
      <w:r>
        <w:rPr>
          <w:rStyle w:val="FootnoteReference"/>
        </w:rPr>
        <w:footnoteRef/>
      </w:r>
      <w:r>
        <w:t xml:space="preserve"> </w:t>
      </w:r>
      <w:r>
        <w:rPr>
          <w:lang w:val="en-IN"/>
        </w:rPr>
        <w:t>Section 12-A of the Commercial Courts Act, 2015; Order XV-A of the CPC</w:t>
      </w:r>
      <w:r w:rsidRPr="00082743">
        <w:rPr>
          <w:lang w:val="en-IN"/>
        </w:rPr>
        <w:t xml:space="preserve"> </w:t>
      </w:r>
      <w:r>
        <w:rPr>
          <w:lang w:val="en-IN"/>
        </w:rPr>
        <w:t>Order XIII-A of the CPC</w:t>
      </w:r>
    </w:p>
  </w:footnote>
  <w:footnote w:id="19">
    <w:p w14:paraId="2C070A8B" w14:textId="3D7455FA" w:rsidR="00064D0E" w:rsidRPr="00064D0E" w:rsidRDefault="00064D0E">
      <w:pPr>
        <w:pStyle w:val="FootnoteText"/>
      </w:pPr>
      <w:r>
        <w:rPr>
          <w:rStyle w:val="FootnoteReference"/>
        </w:rPr>
        <w:footnoteRef/>
      </w:r>
      <w:r>
        <w:t xml:space="preserve"> </w:t>
      </w:r>
      <w:r w:rsidRPr="0045617B">
        <w:t>Some courts, such as the Bombay High Court, may require translations to be made by a court-appointed officer</w:t>
      </w:r>
      <w:r>
        <w:t>: see</w:t>
      </w:r>
      <w:r w:rsidRPr="00064D0E">
        <w:rPr>
          <w:lang w:val="en-IN"/>
        </w:rPr>
        <w:t xml:space="preserve"> </w:t>
      </w:r>
      <w:r>
        <w:rPr>
          <w:lang w:val="en-IN"/>
        </w:rPr>
        <w:t xml:space="preserve">Rule 42 and 630 of the Bombay High Court Original Side Rules, 1980. </w:t>
      </w:r>
      <w:r w:rsidRPr="0045617B">
        <w:t>However, in the past, we have successfully submitted certified translations of Russian court documents which were not prepared by court-appointed translators.</w:t>
      </w:r>
      <w:r w:rsidR="00FB1862" w:rsidRPr="00FB1862">
        <w:t xml:space="preserve"> </w:t>
      </w:r>
      <w:r w:rsidR="00FB1862" w:rsidRPr="00F00FAC">
        <w:t>Since both India and Russia are parties to the Hague Convention Abolishing the Requirement of Legalisation for Foreign Public Documents</w:t>
      </w:r>
      <w:r w:rsidR="00FB1862">
        <w:t xml:space="preserve"> </w:t>
      </w:r>
      <w:r w:rsidR="00FB1862" w:rsidRPr="00F00FAC">
        <w:t xml:space="preserve">of 5 October 1961, an apostilled certified copy satisfies the requirement for </w:t>
      </w:r>
      <w:r w:rsidR="00FB1862">
        <w:t xml:space="preserve">certified translation of Russian court documents (see </w:t>
      </w:r>
      <w:r w:rsidR="00FB1862" w:rsidRPr="00C73B5A">
        <w:rPr>
          <w:i/>
          <w:iCs/>
        </w:rPr>
        <w:t xml:space="preserve">BMO Trust Company v State Bank of India and </w:t>
      </w:r>
      <w:proofErr w:type="spellStart"/>
      <w:r w:rsidR="00FB1862" w:rsidRPr="00C73B5A">
        <w:rPr>
          <w:i/>
          <w:iCs/>
        </w:rPr>
        <w:t>Anr</w:t>
      </w:r>
      <w:proofErr w:type="spellEnd"/>
      <w:r w:rsidR="00FB1862" w:rsidRPr="00C73B5A">
        <w:rPr>
          <w:i/>
          <w:iCs/>
        </w:rPr>
        <w:t>.</w:t>
      </w:r>
      <w:r w:rsidR="00FB1862">
        <w:t xml:space="preserve"> </w:t>
      </w:r>
      <w:r w:rsidR="00FB1862" w:rsidRPr="00C73B5A">
        <w:t xml:space="preserve">2022 SCC </w:t>
      </w:r>
      <w:proofErr w:type="spellStart"/>
      <w:r w:rsidR="00FB1862" w:rsidRPr="00C73B5A">
        <w:t>OnLine</w:t>
      </w:r>
      <w:proofErr w:type="spellEnd"/>
      <w:r w:rsidR="00FB1862" w:rsidRPr="00C73B5A">
        <w:t xml:space="preserve"> Del 5078</w:t>
      </w:r>
      <w:r w:rsidR="00FB1862">
        <w:t>).</w:t>
      </w:r>
    </w:p>
  </w:footnote>
  <w:footnote w:id="20">
    <w:p w14:paraId="551ED86F" w14:textId="31230670" w:rsidR="008271A3" w:rsidRPr="006351A5" w:rsidRDefault="008271A3" w:rsidP="008271A3">
      <w:pPr>
        <w:pStyle w:val="FootnoteText"/>
        <w:rPr>
          <w:lang w:val="en-IN"/>
        </w:rPr>
      </w:pPr>
      <w:r>
        <w:rPr>
          <w:rStyle w:val="FootnoteReference"/>
        </w:rPr>
        <w:footnoteRef/>
      </w:r>
      <w:r>
        <w:t xml:space="preserve"> </w:t>
      </w:r>
      <w:r w:rsidRPr="00F57687">
        <w:t>Indian law recognises that, where a creditor has obtained a foreign decision from a non-reciprocating territory, the creditor may still sue in India on the original underlying cause of action, or on the foreign decision, or both</w:t>
      </w:r>
      <w:r w:rsidRPr="00F00FAC">
        <w:t>.</w:t>
      </w:r>
      <w:r>
        <w:t xml:space="preserve"> See </w:t>
      </w:r>
      <w:r>
        <w:rPr>
          <w:lang w:val="en-IN"/>
        </w:rPr>
        <w:t xml:space="preserve">[25(d)], </w:t>
      </w:r>
      <w:r w:rsidRPr="00B63628">
        <w:rPr>
          <w:i/>
          <w:iCs/>
        </w:rPr>
        <w:t>Marine Geotechnics LLC v Coastal Marine Construction &amp; Engineering Ltd.</w:t>
      </w:r>
      <w:r w:rsidRPr="00B63628">
        <w:t xml:space="preserve">, 2014 SCC </w:t>
      </w:r>
      <w:proofErr w:type="spellStart"/>
      <w:r w:rsidRPr="00B63628">
        <w:t>OnLine</w:t>
      </w:r>
      <w:proofErr w:type="spellEnd"/>
      <w:r w:rsidRPr="00B63628">
        <w:t xml:space="preserve"> Bom 309</w:t>
      </w:r>
      <w:r>
        <w:t xml:space="preserve">; </w:t>
      </w:r>
      <w:r w:rsidRPr="002B41D9">
        <w:rPr>
          <w:i/>
          <w:iCs/>
        </w:rPr>
        <w:t>Intesa Sanpaolo S.P.A. v Videocon Industries Ltd.</w:t>
      </w:r>
      <w:r w:rsidRPr="00F57687">
        <w:t xml:space="preserve">, 2013 SCC </w:t>
      </w:r>
      <w:proofErr w:type="spellStart"/>
      <w:r w:rsidRPr="00F57687">
        <w:t>OnLine</w:t>
      </w:r>
      <w:proofErr w:type="spellEnd"/>
      <w:r w:rsidRPr="00F57687">
        <w:t xml:space="preserve"> Bom 1910</w:t>
      </w:r>
    </w:p>
  </w:footnote>
  <w:footnote w:id="21">
    <w:p w14:paraId="3DD26CD8" w14:textId="77777777" w:rsidR="008271A3" w:rsidRPr="00F57687" w:rsidRDefault="008271A3" w:rsidP="008271A3">
      <w:pPr>
        <w:pStyle w:val="FootnoteText"/>
        <w:rPr>
          <w:b/>
          <w:bCs/>
        </w:rPr>
      </w:pPr>
      <w:r>
        <w:rPr>
          <w:rStyle w:val="FootnoteReference"/>
        </w:rPr>
        <w:footnoteRef/>
      </w:r>
      <w:r>
        <w:t xml:space="preserve"> </w:t>
      </w:r>
      <w:r w:rsidRPr="00F57687">
        <w:t xml:space="preserve">If the guarantees are governed by Indian law, GPB may rely on Indian </w:t>
      </w:r>
      <w:proofErr w:type="gramStart"/>
      <w:r w:rsidRPr="00F57687">
        <w:t>guarantee</w:t>
      </w:r>
      <w:proofErr w:type="gramEnd"/>
      <w:r w:rsidRPr="00F57687">
        <w:t xml:space="preserve"> principles, including Section 128 of the Indian Contract Act, 1872, under which a guarantor’s liability is generally co-extensive with that of the principal debtor, unless the contract provides otherwise. If the guarantees are governed by Russian law, GPB may still sue in India if the Indian court otherwise has jurisdiction, but Russian law would need to be pleaded and proved before the Indian court.</w:t>
      </w:r>
    </w:p>
  </w:footnote>
  <w:footnote w:id="22">
    <w:p w14:paraId="0761FCDE" w14:textId="77777777" w:rsidR="008271A3" w:rsidRPr="00F57687" w:rsidRDefault="008271A3" w:rsidP="008271A3">
      <w:pPr>
        <w:pStyle w:val="FootnoteText"/>
      </w:pPr>
      <w:r>
        <w:rPr>
          <w:rStyle w:val="FootnoteReference"/>
        </w:rPr>
        <w:footnoteRef/>
      </w:r>
      <w:r>
        <w:t xml:space="preserve"> </w:t>
      </w:r>
      <w:r w:rsidRPr="00E54E61">
        <w:rPr>
          <w:i/>
          <w:iCs/>
        </w:rPr>
        <w:t>Modi Entertainment Network v W.S.G. Cricket Pte Ltd</w:t>
      </w:r>
      <w:r w:rsidRPr="00F57687">
        <w:t>., (2003) 4 SCC 341</w:t>
      </w:r>
    </w:p>
  </w:footnote>
  <w:footnote w:id="23">
    <w:p w14:paraId="52BE6285" w14:textId="02FE8514" w:rsidR="008271A3" w:rsidRPr="008271A3" w:rsidRDefault="008271A3">
      <w:pPr>
        <w:pStyle w:val="FootnoteText"/>
      </w:pPr>
      <w:r>
        <w:rPr>
          <w:rStyle w:val="FootnoteReference"/>
        </w:rPr>
        <w:footnoteRef/>
      </w:r>
      <w:r>
        <w:t xml:space="preserve"> In </w:t>
      </w:r>
      <w:r w:rsidRPr="008271A3">
        <w:rPr>
          <w:i/>
          <w:iCs/>
        </w:rPr>
        <w:t>Stanbic Bank Ghana v. Rajkumar Impex</w:t>
      </w:r>
      <w:r>
        <w:t>,</w:t>
      </w:r>
      <w:r w:rsidRPr="008271A3">
        <w:rPr>
          <w:lang w:val="en-US"/>
        </w:rPr>
        <w:t xml:space="preserve"> </w:t>
      </w:r>
      <w:r w:rsidRPr="00C9302E">
        <w:rPr>
          <w:lang w:val="en-US"/>
        </w:rPr>
        <w:t xml:space="preserve">2018 SCC </w:t>
      </w:r>
      <w:proofErr w:type="spellStart"/>
      <w:r w:rsidRPr="00C9302E">
        <w:rPr>
          <w:lang w:val="en-US"/>
        </w:rPr>
        <w:t>OnLine</w:t>
      </w:r>
      <w:proofErr w:type="spellEnd"/>
      <w:r w:rsidRPr="00C9302E">
        <w:rPr>
          <w:lang w:val="en-US"/>
        </w:rPr>
        <w:t xml:space="preserve"> NCLT 2158</w:t>
      </w:r>
      <w:r>
        <w:rPr>
          <w:lang w:val="en-US"/>
        </w:rPr>
        <w:t>,</w:t>
      </w:r>
      <w:r>
        <w:t xml:space="preserve"> a foreign creditor commenced IBC proceedings against an Indian corporate guarantor company. That does not assist GPB directly because the present case concerns an individual guarantor of Russian corporate borrowers.</w:t>
      </w:r>
    </w:p>
  </w:footnote>
  <w:footnote w:id="24">
    <w:p w14:paraId="316178CD" w14:textId="5B53A102" w:rsidR="008271A3" w:rsidRPr="008271A3" w:rsidRDefault="008271A3">
      <w:pPr>
        <w:pStyle w:val="FootnoteText"/>
      </w:pPr>
      <w:r>
        <w:rPr>
          <w:rStyle w:val="FootnoteReference"/>
        </w:rPr>
        <w:footnoteRef/>
      </w:r>
      <w:r>
        <w:t xml:space="preserve"> </w:t>
      </w:r>
      <w:r w:rsidRPr="006C3428">
        <w:t>Section 243 of the IBC, which would repeal both statutes, has not been brought into force</w:t>
      </w:r>
      <w:r>
        <w:t>.</w:t>
      </w:r>
    </w:p>
  </w:footnote>
  <w:footnote w:id="25">
    <w:p w14:paraId="4CD4F495" w14:textId="77777777" w:rsidR="008271A3" w:rsidRPr="002F0D0F" w:rsidRDefault="008271A3" w:rsidP="008271A3">
      <w:pPr>
        <w:pStyle w:val="FootnoteText"/>
        <w:rPr>
          <w:lang w:val="en-IN"/>
        </w:rPr>
      </w:pPr>
      <w:r>
        <w:rPr>
          <w:rStyle w:val="FootnoteReference"/>
        </w:rPr>
        <w:footnoteRef/>
      </w:r>
      <w:r>
        <w:t xml:space="preserve"> </w:t>
      </w:r>
      <w:r w:rsidRPr="002F0D0F">
        <w:t>Section 11 read with Section 3</w:t>
      </w:r>
      <w:r>
        <w:t xml:space="preserve"> of the PIA</w:t>
      </w:r>
    </w:p>
  </w:footnote>
  <w:footnote w:id="26">
    <w:p w14:paraId="18C15460" w14:textId="494018B3" w:rsidR="008271A3" w:rsidRPr="008271A3" w:rsidRDefault="008271A3">
      <w:pPr>
        <w:pStyle w:val="FootnoteText"/>
      </w:pPr>
      <w:r>
        <w:rPr>
          <w:rStyle w:val="FootnoteReference"/>
        </w:rPr>
        <w:footnoteRef/>
      </w:r>
      <w:r>
        <w:t xml:space="preserve"> </w:t>
      </w:r>
      <w:r w:rsidRPr="00F00FAC">
        <w:t xml:space="preserve">The </w:t>
      </w:r>
      <w:r w:rsidRPr="001C385A">
        <w:t xml:space="preserve">closest Indian judicial precedent on cross-border insolvency coordination </w:t>
      </w:r>
      <w:r w:rsidRPr="00F00FAC">
        <w:t xml:space="preserve">is </w:t>
      </w:r>
      <w:r w:rsidRPr="00F00FAC">
        <w:rPr>
          <w:i/>
          <w:iCs/>
        </w:rPr>
        <w:t>Jet Airways (India) Ltd. v. State Bank of India</w:t>
      </w:r>
      <w:r>
        <w:t xml:space="preserve"> </w:t>
      </w:r>
      <w:r w:rsidRPr="000F741D">
        <w:t>Company Appeal (AT) (Insolvency) No. 707 of 2019</w:t>
      </w:r>
      <w:r w:rsidR="00211C9F">
        <w:t>, where the court a</w:t>
      </w:r>
      <w:r w:rsidR="00211C9F" w:rsidRPr="001C385A">
        <w:t xml:space="preserve">pproved a </w:t>
      </w:r>
      <w:r w:rsidR="00211C9F">
        <w:t>c</w:t>
      </w:r>
      <w:r w:rsidR="00211C9F" w:rsidRPr="001C385A">
        <w:t>ross-</w:t>
      </w:r>
      <w:r w:rsidR="00211C9F">
        <w:t>b</w:t>
      </w:r>
      <w:r w:rsidR="00211C9F" w:rsidRPr="001C385A">
        <w:t xml:space="preserve">order </w:t>
      </w:r>
      <w:r w:rsidR="00211C9F">
        <w:t>i</w:t>
      </w:r>
      <w:r w:rsidR="00211C9F" w:rsidRPr="001C385A">
        <w:t xml:space="preserve">nsolvency </w:t>
      </w:r>
      <w:r w:rsidR="00211C9F">
        <w:t>p</w:t>
      </w:r>
      <w:r w:rsidR="00211C9F" w:rsidRPr="001C385A">
        <w:t xml:space="preserve">rotocol between the Indian </w:t>
      </w:r>
      <w:r w:rsidR="00211C9F">
        <w:t>r</w:t>
      </w:r>
      <w:r w:rsidR="00211C9F" w:rsidRPr="001C385A">
        <w:t xml:space="preserve">esolution </w:t>
      </w:r>
      <w:r w:rsidR="00211C9F">
        <w:t>p</w:t>
      </w:r>
      <w:r w:rsidR="00211C9F" w:rsidRPr="001C385A">
        <w:t xml:space="preserve">rofessional and the Dutch </w:t>
      </w:r>
      <w:r w:rsidR="00211C9F">
        <w:t>t</w:t>
      </w:r>
      <w:r w:rsidR="00211C9F" w:rsidRPr="001C385A">
        <w:t>rustee appointed by the Dutch Court</w:t>
      </w:r>
      <w:r w:rsidR="00211C9F">
        <w:t xml:space="preserve">. </w:t>
      </w:r>
      <w:r w:rsidR="00211C9F" w:rsidRPr="001C385A">
        <w:t xml:space="preserve">However, Jet Airways concerned corporate insolvency </w:t>
      </w:r>
      <w:r w:rsidR="00211C9F">
        <w:t>of</w:t>
      </w:r>
      <w:r w:rsidR="00211C9F" w:rsidRPr="001C385A">
        <w:t xml:space="preserve"> an Indian corporate debtor. </w:t>
      </w:r>
      <w:r w:rsidR="00211C9F" w:rsidRPr="00F00FAC">
        <w:t xml:space="preserve">The tribunal </w:t>
      </w:r>
      <w:r w:rsidR="00211C9F">
        <w:t xml:space="preserve">expressly </w:t>
      </w:r>
      <w:r w:rsidR="00211C9F" w:rsidRPr="00F00FAC">
        <w:t>noted that the parties’ agreement recorded India as the corporate debtor’s centre of main interests, making the Indian proceedings the main insolvency proceedings</w:t>
      </w:r>
      <w:r w:rsidR="00211C9F">
        <w:t xml:space="preserve"> </w:t>
      </w:r>
      <w:r w:rsidR="00211C9F" w:rsidRPr="001C385A">
        <w:t>It does not create a standalone route for recognising a Russian bankruptcy decision against an individual guarantor, nor does it give the Receiver automatic authority over the Guarantor’s Indian assets. Any PIA proceedings in India would therefore operate independently of the Receiver’s authority,</w:t>
      </w:r>
    </w:p>
  </w:footnote>
  <w:footnote w:id="27">
    <w:p w14:paraId="5359A009" w14:textId="3BC74560" w:rsidR="006B0246" w:rsidRPr="006B0246" w:rsidRDefault="006B0246">
      <w:pPr>
        <w:pStyle w:val="FootnoteText"/>
        <w:rPr>
          <w:lang w:val="en-IN"/>
        </w:rPr>
      </w:pPr>
      <w:r>
        <w:rPr>
          <w:rStyle w:val="FootnoteReference"/>
        </w:rPr>
        <w:footnoteRef/>
      </w:r>
      <w:r>
        <w:t xml:space="preserve"> </w:t>
      </w:r>
      <w:r w:rsidRPr="006B0246">
        <w:t>The effect of foreign insolvency proceedings in India is not automatic. Recognition or relief in India would require Indian court proceedings, as discussed in Question 1.</w:t>
      </w:r>
    </w:p>
  </w:footnote>
  <w:footnote w:id="28">
    <w:p w14:paraId="0605268C" w14:textId="5EA07DB1" w:rsidR="006B0246" w:rsidRPr="006B0246" w:rsidRDefault="006B0246">
      <w:pPr>
        <w:pStyle w:val="FootnoteText"/>
        <w:rPr>
          <w:lang w:val="en-IN"/>
        </w:rPr>
      </w:pPr>
      <w:r>
        <w:rPr>
          <w:rStyle w:val="FootnoteReference"/>
        </w:rPr>
        <w:footnoteRef/>
      </w:r>
      <w:r>
        <w:t xml:space="preserve"> </w:t>
      </w:r>
      <w:r w:rsidRPr="006B0246">
        <w:t>Under Indian execution principles, competing decree-holders may seek rateable distribution in certain circumstances. Attachments and execution steps may create procedural advantages, but they do not necessarily give absolute priority over all creditors.</w:t>
      </w:r>
    </w:p>
  </w:footnote>
  <w:footnote w:id="29">
    <w:p w14:paraId="5D4CCBD7" w14:textId="0164B81F" w:rsidR="006B0246" w:rsidRPr="006B0246" w:rsidRDefault="006B0246">
      <w:pPr>
        <w:pStyle w:val="FootnoteText"/>
        <w:rPr>
          <w:lang w:val="en-IN"/>
        </w:rPr>
      </w:pPr>
      <w:r>
        <w:rPr>
          <w:rStyle w:val="FootnoteReference"/>
        </w:rPr>
        <w:footnoteRef/>
      </w:r>
      <w:r>
        <w:t xml:space="preserve"> </w:t>
      </w:r>
      <w:r w:rsidRPr="006B0246">
        <w:t>If an Indian insolvency order is made, the debtor’s property is administered under the applicable Indian insolvency statute, and individual remedies may be restricted or require leave of the insolvency court.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DDCA" w14:textId="1EECA9A7" w:rsidR="0065077A" w:rsidRPr="0065077A" w:rsidRDefault="0065077A">
    <w:pPr>
      <w:pStyle w:val="Header"/>
      <w:rPr>
        <w:b/>
        <w:bCs/>
        <w:i/>
        <w:iCs/>
        <w:lang w:val="en-IN"/>
      </w:rPr>
    </w:pPr>
    <w:r>
      <w:rPr>
        <w:b/>
        <w:bCs/>
        <w:i/>
        <w:iCs/>
        <w:lang w:val="en-IN"/>
      </w:rPr>
      <w:tab/>
    </w:r>
    <w:r>
      <w:rPr>
        <w:b/>
        <w:bCs/>
        <w:i/>
        <w:iCs/>
        <w:lang w:val="en-IN"/>
      </w:rPr>
      <w:tab/>
      <w:t>Private and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6AD8D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47A41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D5721D"/>
    <w:multiLevelType w:val="multilevel"/>
    <w:tmpl w:val="12CA0C66"/>
    <w:lvl w:ilvl="0">
      <w:start w:val="1"/>
      <w:numFmt w:val="decimal"/>
      <w:lvlText w:val="%1."/>
      <w:lvlJc w:val="left"/>
      <w:pPr>
        <w:ind w:left="360" w:hanging="360"/>
      </w:pPr>
      <w:rPr>
        <w:rFonts w:hint="default"/>
        <w:b w:val="0"/>
        <w:i w:val="0"/>
        <w:iCs w:val="0"/>
        <w:sz w:val="20"/>
        <w:szCs w:val="20"/>
      </w:rPr>
    </w:lvl>
    <w:lvl w:ilvl="1">
      <w:start w:val="1"/>
      <w:numFmt w:val="bullet"/>
      <w:lvlText w:val=""/>
      <w:lvlJc w:val="left"/>
      <w:pPr>
        <w:ind w:left="717" w:hanging="360"/>
      </w:pPr>
      <w:rPr>
        <w:rFonts w:ascii="Symbol" w:hAnsi="Symbol" w:hint="default"/>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394EE5"/>
    <w:multiLevelType w:val="multilevel"/>
    <w:tmpl w:val="2670160A"/>
    <w:lvl w:ilvl="0">
      <w:start w:val="1"/>
      <w:numFmt w:val="decimal"/>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340681"/>
    <w:multiLevelType w:val="hybridMultilevel"/>
    <w:tmpl w:val="9084B144"/>
    <w:lvl w:ilvl="0" w:tplc="D158B774">
      <w:start w:val="1"/>
      <w:numFmt w:val="low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862A38"/>
    <w:multiLevelType w:val="hybridMultilevel"/>
    <w:tmpl w:val="1A7A2A94"/>
    <w:lvl w:ilvl="0" w:tplc="CF60184E">
      <w:start w:val="1"/>
      <w:numFmt w:val="decimal"/>
      <w:pStyle w:val="NoSpacing"/>
      <w:lvlText w:val="%1)"/>
      <w:lvlJc w:val="left"/>
      <w:pPr>
        <w:ind w:left="360" w:hanging="360"/>
      </w:pPr>
      <w:rPr>
        <w:rFonts w:hint="default"/>
        <w:b/>
        <w:bCs/>
      </w:rPr>
    </w:lvl>
    <w:lvl w:ilvl="1" w:tplc="40090019">
      <w:start w:val="1"/>
      <w:numFmt w:val="lowerLetter"/>
      <w:lvlText w:val="%2."/>
      <w:lvlJc w:val="left"/>
      <w:pPr>
        <w:ind w:left="1080" w:hanging="360"/>
      </w:pPr>
    </w:lvl>
    <w:lvl w:ilvl="2" w:tplc="4009001B">
      <w:start w:val="1"/>
      <w:numFmt w:val="lowerRoman"/>
      <w:pStyle w:val="NoSpacing"/>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9197836"/>
    <w:multiLevelType w:val="hybridMultilevel"/>
    <w:tmpl w:val="EB9453E0"/>
    <w:lvl w:ilvl="0" w:tplc="51F82E1C">
      <w:start w:val="1"/>
      <w:numFmt w:val="decimal"/>
      <w:lvlText w:val="%1."/>
      <w:lvlJc w:val="left"/>
      <w:pPr>
        <w:ind w:left="720" w:hanging="360"/>
      </w:pPr>
    </w:lvl>
    <w:lvl w:ilvl="1" w:tplc="2FD0A9EC">
      <w:start w:val="1"/>
      <w:numFmt w:val="lowerLetter"/>
      <w:lvlText w:val="%2)"/>
      <w:lvlJc w:val="left"/>
      <w:pPr>
        <w:ind w:left="720" w:hanging="360"/>
      </w:pPr>
    </w:lvl>
    <w:lvl w:ilvl="2" w:tplc="DA849628">
      <w:start w:val="1"/>
      <w:numFmt w:val="decimal"/>
      <w:lvlText w:val="%3."/>
      <w:lvlJc w:val="left"/>
      <w:pPr>
        <w:ind w:left="720" w:hanging="360"/>
      </w:pPr>
    </w:lvl>
    <w:lvl w:ilvl="3" w:tplc="2342E67E">
      <w:start w:val="1"/>
      <w:numFmt w:val="decimal"/>
      <w:lvlText w:val="%4."/>
      <w:lvlJc w:val="left"/>
      <w:pPr>
        <w:ind w:left="720" w:hanging="360"/>
      </w:pPr>
    </w:lvl>
    <w:lvl w:ilvl="4" w:tplc="13C61A8A">
      <w:start w:val="1"/>
      <w:numFmt w:val="decimal"/>
      <w:lvlText w:val="%5."/>
      <w:lvlJc w:val="left"/>
      <w:pPr>
        <w:ind w:left="720" w:hanging="360"/>
      </w:pPr>
    </w:lvl>
    <w:lvl w:ilvl="5" w:tplc="65D8684A">
      <w:start w:val="1"/>
      <w:numFmt w:val="decimal"/>
      <w:lvlText w:val="%6."/>
      <w:lvlJc w:val="left"/>
      <w:pPr>
        <w:ind w:left="720" w:hanging="360"/>
      </w:pPr>
    </w:lvl>
    <w:lvl w:ilvl="6" w:tplc="35101BAC">
      <w:start w:val="1"/>
      <w:numFmt w:val="decimal"/>
      <w:lvlText w:val="%7."/>
      <w:lvlJc w:val="left"/>
      <w:pPr>
        <w:ind w:left="720" w:hanging="360"/>
      </w:pPr>
    </w:lvl>
    <w:lvl w:ilvl="7" w:tplc="D6449434">
      <w:start w:val="1"/>
      <w:numFmt w:val="decimal"/>
      <w:lvlText w:val="%8."/>
      <w:lvlJc w:val="left"/>
      <w:pPr>
        <w:ind w:left="720" w:hanging="360"/>
      </w:pPr>
    </w:lvl>
    <w:lvl w:ilvl="8" w:tplc="287092F8">
      <w:start w:val="1"/>
      <w:numFmt w:val="decimal"/>
      <w:lvlText w:val="%9."/>
      <w:lvlJc w:val="left"/>
      <w:pPr>
        <w:ind w:left="720" w:hanging="360"/>
      </w:pPr>
    </w:lvl>
  </w:abstractNum>
  <w:abstractNum w:abstractNumId="7" w15:restartNumberingAfterBreak="0">
    <w:nsid w:val="218359EB"/>
    <w:multiLevelType w:val="hybridMultilevel"/>
    <w:tmpl w:val="92B46E32"/>
    <w:lvl w:ilvl="0" w:tplc="D4FC6440">
      <w:start w:val="1"/>
      <w:numFmt w:val="decimal"/>
      <w:lvlText w:val="%1."/>
      <w:lvlJc w:val="left"/>
      <w:pPr>
        <w:ind w:left="1020" w:hanging="360"/>
      </w:pPr>
    </w:lvl>
    <w:lvl w:ilvl="1" w:tplc="42E8101E">
      <w:start w:val="1"/>
      <w:numFmt w:val="decimal"/>
      <w:lvlText w:val="%2."/>
      <w:lvlJc w:val="left"/>
      <w:pPr>
        <w:ind w:left="1020" w:hanging="360"/>
      </w:pPr>
    </w:lvl>
    <w:lvl w:ilvl="2" w:tplc="A898676A">
      <w:start w:val="1"/>
      <w:numFmt w:val="decimal"/>
      <w:lvlText w:val="%3."/>
      <w:lvlJc w:val="left"/>
      <w:pPr>
        <w:ind w:left="1020" w:hanging="360"/>
      </w:pPr>
    </w:lvl>
    <w:lvl w:ilvl="3" w:tplc="DB8E829E">
      <w:start w:val="1"/>
      <w:numFmt w:val="decimal"/>
      <w:lvlText w:val="%4."/>
      <w:lvlJc w:val="left"/>
      <w:pPr>
        <w:ind w:left="1020" w:hanging="360"/>
      </w:pPr>
    </w:lvl>
    <w:lvl w:ilvl="4" w:tplc="482076D2">
      <w:start w:val="1"/>
      <w:numFmt w:val="decimal"/>
      <w:lvlText w:val="%5."/>
      <w:lvlJc w:val="left"/>
      <w:pPr>
        <w:ind w:left="1020" w:hanging="360"/>
      </w:pPr>
    </w:lvl>
    <w:lvl w:ilvl="5" w:tplc="BA468580">
      <w:start w:val="1"/>
      <w:numFmt w:val="decimal"/>
      <w:lvlText w:val="%6."/>
      <w:lvlJc w:val="left"/>
      <w:pPr>
        <w:ind w:left="1020" w:hanging="360"/>
      </w:pPr>
    </w:lvl>
    <w:lvl w:ilvl="6" w:tplc="FAE4B79A">
      <w:start w:val="1"/>
      <w:numFmt w:val="decimal"/>
      <w:lvlText w:val="%7."/>
      <w:lvlJc w:val="left"/>
      <w:pPr>
        <w:ind w:left="1020" w:hanging="360"/>
      </w:pPr>
    </w:lvl>
    <w:lvl w:ilvl="7" w:tplc="13BED87C">
      <w:start w:val="1"/>
      <w:numFmt w:val="decimal"/>
      <w:lvlText w:val="%8."/>
      <w:lvlJc w:val="left"/>
      <w:pPr>
        <w:ind w:left="1020" w:hanging="360"/>
      </w:pPr>
    </w:lvl>
    <w:lvl w:ilvl="8" w:tplc="9CD86FD0">
      <w:start w:val="1"/>
      <w:numFmt w:val="decimal"/>
      <w:lvlText w:val="%9."/>
      <w:lvlJc w:val="left"/>
      <w:pPr>
        <w:ind w:left="1020" w:hanging="360"/>
      </w:pPr>
    </w:lvl>
  </w:abstractNum>
  <w:abstractNum w:abstractNumId="8" w15:restartNumberingAfterBreak="0">
    <w:nsid w:val="22A71CD4"/>
    <w:multiLevelType w:val="multilevel"/>
    <w:tmpl w:val="5C78B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9252739"/>
    <w:multiLevelType w:val="multilevel"/>
    <w:tmpl w:val="176E5E3E"/>
    <w:lvl w:ilvl="0">
      <w:start w:val="1"/>
      <w:numFmt w:val="decimal"/>
      <w:pStyle w:val="decree"/>
      <w:lvlText w:val="%1."/>
      <w:lvlJc w:val="left"/>
      <w:pPr>
        <w:ind w:left="360" w:hanging="360"/>
      </w:pPr>
      <w:rPr>
        <w:rFonts w:hint="default"/>
        <w:b w:val="0"/>
        <w:i w:val="0"/>
        <w:iCs w:val="0"/>
        <w:sz w:val="20"/>
        <w:szCs w:val="20"/>
      </w:rPr>
    </w:lvl>
    <w:lvl w:ilvl="1">
      <w:start w:val="1"/>
      <w:numFmt w:val="lowerLetter"/>
      <w:lvlText w:val="(%2)"/>
      <w:lvlJc w:val="left"/>
      <w:pPr>
        <w:ind w:left="717" w:hanging="360"/>
      </w:pPr>
      <w:rPr>
        <w:rFonts w:hint="default"/>
        <w:i w:val="0"/>
        <w:iCs w:val="0"/>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EBB75AB"/>
    <w:multiLevelType w:val="hybridMultilevel"/>
    <w:tmpl w:val="00029DD4"/>
    <w:lvl w:ilvl="0" w:tplc="FFFFFFFF">
      <w:start w:val="1"/>
      <w:numFmt w:val="lowerLetter"/>
      <w:lvlText w:val="(%1)"/>
      <w:lvlJc w:val="left"/>
      <w:pPr>
        <w:ind w:left="1080" w:hanging="360"/>
      </w:pPr>
      <w:rPr>
        <w:rFonts w:ascii="Times New Roman" w:eastAsiaTheme="minorHAnsi" w:hAnsi="Times New Roman" w:cs="Times New Roman" w:hint="default"/>
        <w:b w:val="0"/>
      </w:rPr>
    </w:lvl>
    <w:lvl w:ilvl="1" w:tplc="FFFFFFFF">
      <w:start w:val="1"/>
      <w:numFmt w:val="lowerLetter"/>
      <w:lvlText w:val="(%2)"/>
      <w:lvlJc w:val="left"/>
      <w:pPr>
        <w:ind w:left="2084" w:hanging="360"/>
      </w:pPr>
      <w:rPr>
        <w:rFonts w:hint="default"/>
      </w:r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11" w15:restartNumberingAfterBreak="0">
    <w:nsid w:val="339D3AC1"/>
    <w:multiLevelType w:val="hybridMultilevel"/>
    <w:tmpl w:val="108298E6"/>
    <w:lvl w:ilvl="0" w:tplc="FFFFFFFF">
      <w:start w:val="1"/>
      <w:numFmt w:val="lowerLetter"/>
      <w:lvlText w:val="(%1)"/>
      <w:lvlJc w:val="left"/>
      <w:pPr>
        <w:ind w:left="1364" w:hanging="360"/>
      </w:pPr>
      <w:rPr>
        <w:rFonts w:ascii="Times New Roman" w:eastAsiaTheme="minorHAnsi" w:hAnsi="Times New Roman"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CB18CB"/>
    <w:multiLevelType w:val="multilevel"/>
    <w:tmpl w:val="2670160A"/>
    <w:lvl w:ilvl="0">
      <w:start w:val="1"/>
      <w:numFmt w:val="decimal"/>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771AC9"/>
    <w:multiLevelType w:val="multilevel"/>
    <w:tmpl w:val="DD967D34"/>
    <w:lvl w:ilvl="0">
      <w:start w:val="1"/>
      <w:numFmt w:val="upperRoman"/>
      <w:lvlText w:val="%1."/>
      <w:lvlJc w:val="left"/>
      <w:pPr>
        <w:ind w:left="357" w:hanging="357"/>
      </w:pPr>
      <w:rPr>
        <w:rFonts w:hint="default"/>
      </w:rPr>
    </w:lvl>
    <w:lvl w:ilvl="1">
      <w:start w:val="1"/>
      <w:numFmt w:val="decimal"/>
      <w:lvlText w:val="%2)"/>
      <w:lvlJc w:val="left"/>
      <w:pPr>
        <w:ind w:left="357" w:hanging="357"/>
      </w:pPr>
      <w:rPr>
        <w:rFonts w:hint="default"/>
      </w:rPr>
    </w:lvl>
    <w:lvl w:ilvl="2">
      <w:start w:val="1"/>
      <w:numFmt w:val="lowerRoman"/>
      <w:lvlText w:val="[%3]"/>
      <w:lvlJc w:val="left"/>
      <w:pPr>
        <w:ind w:left="720" w:hanging="36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99F3726"/>
    <w:multiLevelType w:val="multilevel"/>
    <w:tmpl w:val="A448DBB2"/>
    <w:lvl w:ilvl="0">
      <w:start w:val="1"/>
      <w:numFmt w:val="decimal"/>
      <w:lvlText w:val="%1."/>
      <w:lvlJc w:val="left"/>
      <w:pPr>
        <w:ind w:left="360" w:hanging="360"/>
      </w:pPr>
      <w:rPr>
        <w:rFonts w:hint="default"/>
        <w:b w:val="0"/>
        <w:bCs w:val="0"/>
        <w:i w:val="0"/>
        <w:iCs w:val="0"/>
      </w:rPr>
    </w:lvl>
    <w:lvl w:ilvl="1">
      <w:start w:val="1"/>
      <w:numFmt w:val="lowerLetter"/>
      <w:lvlText w:val="(%2)"/>
      <w:lvlJc w:val="left"/>
      <w:pPr>
        <w:ind w:left="720" w:hanging="363"/>
      </w:pPr>
      <w:rPr>
        <w:rFonts w:hint="default"/>
        <w:i w:val="0"/>
        <w:iCs w:val="0"/>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A9F28D7"/>
    <w:multiLevelType w:val="multilevel"/>
    <w:tmpl w:val="1A6CE7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5910075"/>
    <w:multiLevelType w:val="hybridMultilevel"/>
    <w:tmpl w:val="E402A4DE"/>
    <w:lvl w:ilvl="0" w:tplc="76DAE9CC">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CAC25B3"/>
    <w:multiLevelType w:val="hybridMultilevel"/>
    <w:tmpl w:val="F4D05880"/>
    <w:lvl w:ilvl="0" w:tplc="87C622E2">
      <w:start w:val="1"/>
      <w:numFmt w:val="lowerLetter"/>
      <w:lvlText w:val="(%1)"/>
      <w:lvlJc w:val="left"/>
      <w:pPr>
        <w:ind w:left="1364" w:hanging="360"/>
      </w:pPr>
      <w:rPr>
        <w:rFonts w:hint="default"/>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FB7725E"/>
    <w:multiLevelType w:val="multilevel"/>
    <w:tmpl w:val="A448DBB2"/>
    <w:lvl w:ilvl="0">
      <w:start w:val="1"/>
      <w:numFmt w:val="decimal"/>
      <w:lvlText w:val="%1."/>
      <w:lvlJc w:val="left"/>
      <w:pPr>
        <w:ind w:left="360" w:hanging="360"/>
      </w:pPr>
      <w:rPr>
        <w:rFonts w:hint="default"/>
        <w:b w:val="0"/>
        <w:bCs w:val="0"/>
        <w:i w:val="0"/>
        <w:iCs w:val="0"/>
      </w:rPr>
    </w:lvl>
    <w:lvl w:ilvl="1">
      <w:start w:val="1"/>
      <w:numFmt w:val="lowerLetter"/>
      <w:lvlText w:val="(%2)"/>
      <w:lvlJc w:val="left"/>
      <w:pPr>
        <w:ind w:left="720" w:hanging="363"/>
      </w:pPr>
      <w:rPr>
        <w:rFonts w:hint="default"/>
        <w:i w:val="0"/>
        <w:iCs w:val="0"/>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962BB1"/>
    <w:multiLevelType w:val="multilevel"/>
    <w:tmpl w:val="7D9A0F4E"/>
    <w:lvl w:ilvl="0">
      <w:start w:val="1"/>
      <w:numFmt w:val="bullet"/>
      <w:lvlText w:val=""/>
      <w:lvlJc w:val="left"/>
      <w:pPr>
        <w:ind w:left="360" w:hanging="360"/>
      </w:pPr>
      <w:rPr>
        <w:rFonts w:ascii="Symbol" w:hAnsi="Symbol" w:hint="default"/>
        <w:b w:val="0"/>
        <w:i w:val="0"/>
        <w:iCs w:val="0"/>
        <w:sz w:val="20"/>
        <w:szCs w:val="20"/>
      </w:rPr>
    </w:lvl>
    <w:lvl w:ilvl="1">
      <w:start w:val="1"/>
      <w:numFmt w:val="lowerLetter"/>
      <w:lvlText w:val="(%2)"/>
      <w:lvlJc w:val="left"/>
      <w:pPr>
        <w:ind w:left="717" w:hanging="360"/>
      </w:pPr>
      <w:rPr>
        <w:rFonts w:hint="default"/>
        <w:i w:val="0"/>
        <w:iCs w:val="0"/>
      </w:rPr>
    </w:lvl>
    <w:lvl w:ilvl="2">
      <w:start w:val="1"/>
      <w:numFmt w:val="lowerRoman"/>
      <w:lvlText w:val="(%3)"/>
      <w:lvlJc w:val="left"/>
      <w:pPr>
        <w:tabs>
          <w:tab w:val="num" w:pos="1134"/>
        </w:tabs>
        <w:ind w:left="1134" w:hanging="41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21C4DAA"/>
    <w:multiLevelType w:val="hybridMultilevel"/>
    <w:tmpl w:val="B5587A5E"/>
    <w:lvl w:ilvl="0" w:tplc="C430F762">
      <w:start w:val="1"/>
      <w:numFmt w:val="upperRoman"/>
      <w:pStyle w:val="Heading1"/>
      <w:lvlText w:val="%1."/>
      <w:lvlJc w:val="left"/>
      <w:pPr>
        <w:ind w:left="720" w:hanging="360"/>
      </w:pPr>
      <w:rPr>
        <w:rFonts w:hint="default"/>
        <w:b/>
        <w:bCs w:val="0"/>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F2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B464782"/>
    <w:multiLevelType w:val="hybridMultilevel"/>
    <w:tmpl w:val="12C0D2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D652BE2"/>
    <w:multiLevelType w:val="hybridMultilevel"/>
    <w:tmpl w:val="9314D374"/>
    <w:lvl w:ilvl="0" w:tplc="FFFFFFFF">
      <w:start w:val="1"/>
      <w:numFmt w:val="lowerLetter"/>
      <w:lvlText w:val="(%1)"/>
      <w:lvlJc w:val="left"/>
      <w:pPr>
        <w:ind w:left="1080" w:hanging="360"/>
      </w:pPr>
      <w:rPr>
        <w:rFonts w:ascii="Times New Roman" w:eastAsiaTheme="minorHAnsi" w:hAnsi="Times New Roman" w:cs="Times New Roman"/>
        <w:b w:val="0"/>
      </w:rPr>
    </w:lvl>
    <w:lvl w:ilvl="1" w:tplc="FFFFFFFF">
      <w:start w:val="1"/>
      <w:numFmt w:val="lowerLetter"/>
      <w:lvlText w:val="(%2)"/>
      <w:lvlJc w:val="left"/>
      <w:pPr>
        <w:ind w:left="2084" w:hanging="360"/>
      </w:pPr>
      <w:rPr>
        <w:rFonts w:hint="default"/>
      </w:r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24" w15:restartNumberingAfterBreak="0">
    <w:nsid w:val="5F631663"/>
    <w:multiLevelType w:val="multilevel"/>
    <w:tmpl w:val="FCA03A60"/>
    <w:lvl w:ilvl="0">
      <w:start w:val="9"/>
      <w:numFmt w:val="decimal"/>
      <w:lvlText w:val="%1."/>
      <w:lvlJc w:val="left"/>
      <w:pPr>
        <w:ind w:left="357" w:hanging="357"/>
      </w:pPr>
      <w:rPr>
        <w:rFonts w:hint="default"/>
        <w:i w:val="0"/>
        <w:iCs w:val="0"/>
        <w:color w:val="auto"/>
        <w:sz w:val="20"/>
        <w:szCs w:val="20"/>
        <w:vertAlign w:val="baseline"/>
      </w:rPr>
    </w:lvl>
    <w:lvl w:ilvl="1">
      <w:start w:val="1"/>
      <w:numFmt w:val="lowerLetter"/>
      <w:lvlText w:val="(%2)"/>
      <w:lvlJc w:val="left"/>
      <w:pPr>
        <w:ind w:left="720" w:hanging="363"/>
      </w:pPr>
      <w:rPr>
        <w:rFonts w:ascii="Times New Roman" w:eastAsiaTheme="minorHAnsi" w:hAnsi="Times New Roman" w:cs="Times New Roman" w:hint="default"/>
        <w:vertAlign w:val="baseline"/>
      </w:rPr>
    </w:lvl>
    <w:lvl w:ilvl="2">
      <w:start w:val="1"/>
      <w:numFmt w:val="lowerRoman"/>
      <w:lvlText w:val="(%3)"/>
      <w:lvlJc w:val="left"/>
      <w:pPr>
        <w:ind w:left="1134" w:hanging="414"/>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 w15:restartNumberingAfterBreak="0">
    <w:nsid w:val="627D1F8C"/>
    <w:multiLevelType w:val="hybridMultilevel"/>
    <w:tmpl w:val="E2440B98"/>
    <w:lvl w:ilvl="0" w:tplc="0ADCE19C">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B17106"/>
    <w:multiLevelType w:val="hybridMultilevel"/>
    <w:tmpl w:val="B6D8F96E"/>
    <w:lvl w:ilvl="0" w:tplc="9B64E87C">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850E84"/>
    <w:multiLevelType w:val="multilevel"/>
    <w:tmpl w:val="FED278BE"/>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left"/>
      <w:pPr>
        <w:ind w:left="107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82B7DE5"/>
    <w:multiLevelType w:val="hybridMultilevel"/>
    <w:tmpl w:val="CF9E9F46"/>
    <w:lvl w:ilvl="0" w:tplc="F2565F9C">
      <w:start w:val="1"/>
      <w:numFmt w:val="upperLetter"/>
      <w:pStyle w:val="Heading2"/>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9" w15:restartNumberingAfterBreak="0">
    <w:nsid w:val="77B6544D"/>
    <w:multiLevelType w:val="hybridMultilevel"/>
    <w:tmpl w:val="E758C312"/>
    <w:lvl w:ilvl="0" w:tplc="A5AA05C4">
      <w:start w:val="1"/>
      <w:numFmt w:val="lowerLetter"/>
      <w:lvlText w:val="(%1)"/>
      <w:lvlJc w:val="left"/>
      <w:pPr>
        <w:ind w:left="13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7324A2"/>
    <w:multiLevelType w:val="hybridMultilevel"/>
    <w:tmpl w:val="CDAE28B8"/>
    <w:lvl w:ilvl="0" w:tplc="87C622E2">
      <w:start w:val="1"/>
      <w:numFmt w:val="lowerLetter"/>
      <w:lvlText w:val="(%1)"/>
      <w:lvlJc w:val="left"/>
      <w:pPr>
        <w:ind w:left="1364" w:hanging="360"/>
      </w:pPr>
      <w:rPr>
        <w:rFonts w:hint="default"/>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8373408">
    <w:abstractNumId w:val="20"/>
  </w:num>
  <w:num w:numId="2" w16cid:durableId="1709139336">
    <w:abstractNumId w:val="25"/>
  </w:num>
  <w:num w:numId="3" w16cid:durableId="758718204">
    <w:abstractNumId w:val="9"/>
  </w:num>
  <w:num w:numId="4" w16cid:durableId="1819225493">
    <w:abstractNumId w:val="25"/>
    <w:lvlOverride w:ilvl="0">
      <w:startOverride w:val="1"/>
    </w:lvlOverride>
  </w:num>
  <w:num w:numId="5" w16cid:durableId="2023971430">
    <w:abstractNumId w:val="5"/>
  </w:num>
  <w:num w:numId="6" w16cid:durableId="1108231251">
    <w:abstractNumId w:val="29"/>
  </w:num>
  <w:num w:numId="7" w16cid:durableId="1275554165">
    <w:abstractNumId w:val="17"/>
  </w:num>
  <w:num w:numId="8" w16cid:durableId="593784496">
    <w:abstractNumId w:val="30"/>
  </w:num>
  <w:num w:numId="9" w16cid:durableId="1945502689">
    <w:abstractNumId w:val="10"/>
  </w:num>
  <w:num w:numId="10" w16cid:durableId="845367232">
    <w:abstractNumId w:val="11"/>
  </w:num>
  <w:num w:numId="11" w16cid:durableId="1428885078">
    <w:abstractNumId w:val="23"/>
  </w:num>
  <w:num w:numId="12" w16cid:durableId="158350656">
    <w:abstractNumId w:val="5"/>
    <w:lvlOverride w:ilvl="0">
      <w:startOverride w:val="1"/>
    </w:lvlOverride>
  </w:num>
  <w:num w:numId="13" w16cid:durableId="973174797">
    <w:abstractNumId w:val="25"/>
    <w:lvlOverride w:ilvl="0">
      <w:startOverride w:val="1"/>
    </w:lvlOverride>
  </w:num>
  <w:num w:numId="14" w16cid:durableId="1507285707">
    <w:abstractNumId w:val="5"/>
    <w:lvlOverride w:ilvl="0">
      <w:startOverride w:val="1"/>
    </w:lvlOverride>
  </w:num>
  <w:num w:numId="15" w16cid:durableId="21335530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4286465">
    <w:abstractNumId w:val="5"/>
  </w:num>
  <w:num w:numId="17" w16cid:durableId="108547075">
    <w:abstractNumId w:val="5"/>
    <w:lvlOverride w:ilvl="0">
      <w:startOverride w:val="1"/>
    </w:lvlOverride>
  </w:num>
  <w:num w:numId="18" w16cid:durableId="348989545">
    <w:abstractNumId w:val="5"/>
  </w:num>
  <w:num w:numId="19" w16cid:durableId="960381898">
    <w:abstractNumId w:val="5"/>
    <w:lvlOverride w:ilvl="0">
      <w:startOverride w:val="1"/>
    </w:lvlOverride>
  </w:num>
  <w:num w:numId="20" w16cid:durableId="252275725">
    <w:abstractNumId w:val="24"/>
  </w:num>
  <w:num w:numId="21" w16cid:durableId="908198147">
    <w:abstractNumId w:val="5"/>
  </w:num>
  <w:num w:numId="22" w16cid:durableId="1091466010">
    <w:abstractNumId w:val="5"/>
  </w:num>
  <w:num w:numId="23" w16cid:durableId="540483544">
    <w:abstractNumId w:val="5"/>
  </w:num>
  <w:num w:numId="24" w16cid:durableId="481695310">
    <w:abstractNumId w:val="5"/>
  </w:num>
  <w:num w:numId="25" w16cid:durableId="1546715521">
    <w:abstractNumId w:val="5"/>
  </w:num>
  <w:num w:numId="26" w16cid:durableId="201983342">
    <w:abstractNumId w:val="5"/>
  </w:num>
  <w:num w:numId="27" w16cid:durableId="950629425">
    <w:abstractNumId w:val="5"/>
  </w:num>
  <w:num w:numId="28" w16cid:durableId="1345935386">
    <w:abstractNumId w:val="12"/>
  </w:num>
  <w:num w:numId="29" w16cid:durableId="841045562">
    <w:abstractNumId w:val="14"/>
  </w:num>
  <w:num w:numId="30" w16cid:durableId="1649357698">
    <w:abstractNumId w:val="18"/>
  </w:num>
  <w:num w:numId="31" w16cid:durableId="2076006469">
    <w:abstractNumId w:val="26"/>
  </w:num>
  <w:num w:numId="32" w16cid:durableId="1566915740">
    <w:abstractNumId w:val="3"/>
  </w:num>
  <w:num w:numId="33" w16cid:durableId="1387030788">
    <w:abstractNumId w:val="0"/>
  </w:num>
  <w:num w:numId="34" w16cid:durableId="1483156483">
    <w:abstractNumId w:val="13"/>
  </w:num>
  <w:num w:numId="35" w16cid:durableId="21364405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577895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382469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0291088">
    <w:abstractNumId w:val="1"/>
  </w:num>
  <w:num w:numId="39" w16cid:durableId="1227648414">
    <w:abstractNumId w:val="4"/>
  </w:num>
  <w:num w:numId="40" w16cid:durableId="1468739052">
    <w:abstractNumId w:val="27"/>
  </w:num>
  <w:num w:numId="41" w16cid:durableId="1456408535">
    <w:abstractNumId w:val="8"/>
  </w:num>
  <w:num w:numId="42" w16cid:durableId="1190991726">
    <w:abstractNumId w:val="15"/>
  </w:num>
  <w:num w:numId="43" w16cid:durableId="496460956">
    <w:abstractNumId w:val="2"/>
  </w:num>
  <w:num w:numId="44" w16cid:durableId="198665338">
    <w:abstractNumId w:val="28"/>
  </w:num>
  <w:num w:numId="45" w16cid:durableId="1943955570">
    <w:abstractNumId w:val="21"/>
  </w:num>
  <w:num w:numId="46" w16cid:durableId="964430837">
    <w:abstractNumId w:val="28"/>
    <w:lvlOverride w:ilvl="0">
      <w:startOverride w:val="1"/>
    </w:lvlOverride>
  </w:num>
  <w:num w:numId="47" w16cid:durableId="1698236468">
    <w:abstractNumId w:val="28"/>
    <w:lvlOverride w:ilvl="0">
      <w:startOverride w:val="1"/>
    </w:lvlOverride>
  </w:num>
  <w:num w:numId="48" w16cid:durableId="1524630296">
    <w:abstractNumId w:val="28"/>
    <w:lvlOverride w:ilvl="0">
      <w:startOverride w:val="1"/>
    </w:lvlOverride>
  </w:num>
  <w:num w:numId="49" w16cid:durableId="557520638">
    <w:abstractNumId w:val="28"/>
    <w:lvlOverride w:ilvl="0">
      <w:startOverride w:val="1"/>
    </w:lvlOverride>
  </w:num>
  <w:num w:numId="50" w16cid:durableId="449740179">
    <w:abstractNumId w:val="28"/>
  </w:num>
  <w:num w:numId="51" w16cid:durableId="106898375">
    <w:abstractNumId w:val="7"/>
  </w:num>
  <w:num w:numId="52" w16cid:durableId="1538008381">
    <w:abstractNumId w:val="19"/>
  </w:num>
  <w:num w:numId="53" w16cid:durableId="1788158287">
    <w:abstractNumId w:val="6"/>
  </w:num>
  <w:num w:numId="54" w16cid:durableId="1197428104">
    <w:abstractNumId w:val="16"/>
  </w:num>
  <w:num w:numId="55" w16cid:durableId="1947148975">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84"/>
    <w:rsid w:val="000014C3"/>
    <w:rsid w:val="000041CC"/>
    <w:rsid w:val="00004389"/>
    <w:rsid w:val="0001195E"/>
    <w:rsid w:val="00013815"/>
    <w:rsid w:val="000166E8"/>
    <w:rsid w:val="00020FD3"/>
    <w:rsid w:val="00021313"/>
    <w:rsid w:val="00022A56"/>
    <w:rsid w:val="0002637C"/>
    <w:rsid w:val="0002679D"/>
    <w:rsid w:val="00026824"/>
    <w:rsid w:val="000305B8"/>
    <w:rsid w:val="0003224E"/>
    <w:rsid w:val="000327B7"/>
    <w:rsid w:val="00036272"/>
    <w:rsid w:val="000437A2"/>
    <w:rsid w:val="00043EE9"/>
    <w:rsid w:val="00044679"/>
    <w:rsid w:val="000505BD"/>
    <w:rsid w:val="000548DA"/>
    <w:rsid w:val="000560C1"/>
    <w:rsid w:val="000572FB"/>
    <w:rsid w:val="000577E9"/>
    <w:rsid w:val="00061B96"/>
    <w:rsid w:val="00064D0E"/>
    <w:rsid w:val="00067432"/>
    <w:rsid w:val="00067B5F"/>
    <w:rsid w:val="00073056"/>
    <w:rsid w:val="00074719"/>
    <w:rsid w:val="00074AF1"/>
    <w:rsid w:val="00080241"/>
    <w:rsid w:val="00082743"/>
    <w:rsid w:val="000938F5"/>
    <w:rsid w:val="0009428C"/>
    <w:rsid w:val="00094B2F"/>
    <w:rsid w:val="00095145"/>
    <w:rsid w:val="00095706"/>
    <w:rsid w:val="000A0884"/>
    <w:rsid w:val="000A12AC"/>
    <w:rsid w:val="000A3428"/>
    <w:rsid w:val="000A3444"/>
    <w:rsid w:val="000A3961"/>
    <w:rsid w:val="000A5EE4"/>
    <w:rsid w:val="000A62E3"/>
    <w:rsid w:val="000A632A"/>
    <w:rsid w:val="000B1A20"/>
    <w:rsid w:val="000B4156"/>
    <w:rsid w:val="000B4842"/>
    <w:rsid w:val="000C1971"/>
    <w:rsid w:val="000C3824"/>
    <w:rsid w:val="000C4B11"/>
    <w:rsid w:val="000D10DE"/>
    <w:rsid w:val="000D1323"/>
    <w:rsid w:val="000D27A7"/>
    <w:rsid w:val="000D36F2"/>
    <w:rsid w:val="000E0398"/>
    <w:rsid w:val="000E2702"/>
    <w:rsid w:val="000E465F"/>
    <w:rsid w:val="000E5200"/>
    <w:rsid w:val="000E64EB"/>
    <w:rsid w:val="000F200D"/>
    <w:rsid w:val="000F536B"/>
    <w:rsid w:val="000F741D"/>
    <w:rsid w:val="00100F50"/>
    <w:rsid w:val="0010235E"/>
    <w:rsid w:val="00103B4B"/>
    <w:rsid w:val="00103EB6"/>
    <w:rsid w:val="0010516C"/>
    <w:rsid w:val="00110718"/>
    <w:rsid w:val="00110E4B"/>
    <w:rsid w:val="00114859"/>
    <w:rsid w:val="00114D3C"/>
    <w:rsid w:val="0011579E"/>
    <w:rsid w:val="00116F39"/>
    <w:rsid w:val="00117F21"/>
    <w:rsid w:val="00122D77"/>
    <w:rsid w:val="00125062"/>
    <w:rsid w:val="001254F8"/>
    <w:rsid w:val="00126242"/>
    <w:rsid w:val="00126A3D"/>
    <w:rsid w:val="0013025C"/>
    <w:rsid w:val="0013199C"/>
    <w:rsid w:val="0013582E"/>
    <w:rsid w:val="00137B2F"/>
    <w:rsid w:val="001425BF"/>
    <w:rsid w:val="00142ADA"/>
    <w:rsid w:val="00145863"/>
    <w:rsid w:val="00146563"/>
    <w:rsid w:val="00156093"/>
    <w:rsid w:val="00156F7F"/>
    <w:rsid w:val="001603B4"/>
    <w:rsid w:val="0016192C"/>
    <w:rsid w:val="0016241F"/>
    <w:rsid w:val="001639B9"/>
    <w:rsid w:val="0016716A"/>
    <w:rsid w:val="00167FC8"/>
    <w:rsid w:val="00172562"/>
    <w:rsid w:val="00176C75"/>
    <w:rsid w:val="001854C2"/>
    <w:rsid w:val="0018557B"/>
    <w:rsid w:val="00187FEA"/>
    <w:rsid w:val="00195105"/>
    <w:rsid w:val="00197C2B"/>
    <w:rsid w:val="001A0DE6"/>
    <w:rsid w:val="001A16EF"/>
    <w:rsid w:val="001B1193"/>
    <w:rsid w:val="001B34EA"/>
    <w:rsid w:val="001B47F9"/>
    <w:rsid w:val="001C385A"/>
    <w:rsid w:val="001C3DDD"/>
    <w:rsid w:val="001D48BF"/>
    <w:rsid w:val="001D5EE2"/>
    <w:rsid w:val="001D63CD"/>
    <w:rsid w:val="001D772C"/>
    <w:rsid w:val="001E1445"/>
    <w:rsid w:val="001E37EF"/>
    <w:rsid w:val="001E4947"/>
    <w:rsid w:val="001E6210"/>
    <w:rsid w:val="001E7997"/>
    <w:rsid w:val="001F1362"/>
    <w:rsid w:val="001F324C"/>
    <w:rsid w:val="00205D5D"/>
    <w:rsid w:val="00210920"/>
    <w:rsid w:val="002110A6"/>
    <w:rsid w:val="002115F9"/>
    <w:rsid w:val="00211C9F"/>
    <w:rsid w:val="002128D8"/>
    <w:rsid w:val="00213900"/>
    <w:rsid w:val="00214D8C"/>
    <w:rsid w:val="00215A95"/>
    <w:rsid w:val="002207AA"/>
    <w:rsid w:val="00223133"/>
    <w:rsid w:val="002239C7"/>
    <w:rsid w:val="00224C01"/>
    <w:rsid w:val="00225665"/>
    <w:rsid w:val="00230AF1"/>
    <w:rsid w:val="00231749"/>
    <w:rsid w:val="002329BF"/>
    <w:rsid w:val="002329DA"/>
    <w:rsid w:val="0023534B"/>
    <w:rsid w:val="0023540E"/>
    <w:rsid w:val="0023755B"/>
    <w:rsid w:val="00237EF0"/>
    <w:rsid w:val="00241588"/>
    <w:rsid w:val="00245198"/>
    <w:rsid w:val="002472E9"/>
    <w:rsid w:val="00251D76"/>
    <w:rsid w:val="00266173"/>
    <w:rsid w:val="002747B5"/>
    <w:rsid w:val="00276986"/>
    <w:rsid w:val="00280AC2"/>
    <w:rsid w:val="0028598C"/>
    <w:rsid w:val="00285CA5"/>
    <w:rsid w:val="00287436"/>
    <w:rsid w:val="002905DA"/>
    <w:rsid w:val="00293677"/>
    <w:rsid w:val="00294EDC"/>
    <w:rsid w:val="002955DF"/>
    <w:rsid w:val="0029633E"/>
    <w:rsid w:val="00296416"/>
    <w:rsid w:val="00296BAC"/>
    <w:rsid w:val="002A0D1C"/>
    <w:rsid w:val="002A7AF3"/>
    <w:rsid w:val="002B3275"/>
    <w:rsid w:val="002B41D9"/>
    <w:rsid w:val="002C124B"/>
    <w:rsid w:val="002C1512"/>
    <w:rsid w:val="002C3C55"/>
    <w:rsid w:val="002C42EA"/>
    <w:rsid w:val="002C6892"/>
    <w:rsid w:val="002D31EF"/>
    <w:rsid w:val="002D3765"/>
    <w:rsid w:val="002D61B3"/>
    <w:rsid w:val="002D6603"/>
    <w:rsid w:val="002D6879"/>
    <w:rsid w:val="002D6B65"/>
    <w:rsid w:val="002D77EB"/>
    <w:rsid w:val="002E1BF7"/>
    <w:rsid w:val="002E3CE3"/>
    <w:rsid w:val="002E41CC"/>
    <w:rsid w:val="002E55BA"/>
    <w:rsid w:val="002E6BD3"/>
    <w:rsid w:val="002F0D0F"/>
    <w:rsid w:val="002F21F0"/>
    <w:rsid w:val="002F5722"/>
    <w:rsid w:val="002F69D2"/>
    <w:rsid w:val="00301A50"/>
    <w:rsid w:val="00305040"/>
    <w:rsid w:val="0031296F"/>
    <w:rsid w:val="00313B4C"/>
    <w:rsid w:val="00315E31"/>
    <w:rsid w:val="00316189"/>
    <w:rsid w:val="00316E9B"/>
    <w:rsid w:val="00316F1F"/>
    <w:rsid w:val="00331F91"/>
    <w:rsid w:val="00336F83"/>
    <w:rsid w:val="003415C8"/>
    <w:rsid w:val="003437B2"/>
    <w:rsid w:val="00346E1F"/>
    <w:rsid w:val="00347508"/>
    <w:rsid w:val="00347A8C"/>
    <w:rsid w:val="00354FAE"/>
    <w:rsid w:val="00355540"/>
    <w:rsid w:val="00356161"/>
    <w:rsid w:val="00357CA1"/>
    <w:rsid w:val="00361A1C"/>
    <w:rsid w:val="0036525A"/>
    <w:rsid w:val="00367861"/>
    <w:rsid w:val="00367949"/>
    <w:rsid w:val="00370BA7"/>
    <w:rsid w:val="00376ABE"/>
    <w:rsid w:val="0038517B"/>
    <w:rsid w:val="003859E0"/>
    <w:rsid w:val="00395EAB"/>
    <w:rsid w:val="00396FDD"/>
    <w:rsid w:val="003A0299"/>
    <w:rsid w:val="003A20F0"/>
    <w:rsid w:val="003A63B5"/>
    <w:rsid w:val="003B1357"/>
    <w:rsid w:val="003B1506"/>
    <w:rsid w:val="003B4474"/>
    <w:rsid w:val="003B53C3"/>
    <w:rsid w:val="003B5870"/>
    <w:rsid w:val="003C78A9"/>
    <w:rsid w:val="003C78E1"/>
    <w:rsid w:val="003D193B"/>
    <w:rsid w:val="003D1F0C"/>
    <w:rsid w:val="003D35F2"/>
    <w:rsid w:val="003E2F04"/>
    <w:rsid w:val="003E3416"/>
    <w:rsid w:val="003E3DB2"/>
    <w:rsid w:val="003E4DDE"/>
    <w:rsid w:val="003E55EF"/>
    <w:rsid w:val="003E5AE0"/>
    <w:rsid w:val="003E5E74"/>
    <w:rsid w:val="003F1DDC"/>
    <w:rsid w:val="003F4234"/>
    <w:rsid w:val="00400EE4"/>
    <w:rsid w:val="00402C42"/>
    <w:rsid w:val="00407BBC"/>
    <w:rsid w:val="00413DD8"/>
    <w:rsid w:val="0041446A"/>
    <w:rsid w:val="004151EE"/>
    <w:rsid w:val="0041745D"/>
    <w:rsid w:val="004211AF"/>
    <w:rsid w:val="004232F3"/>
    <w:rsid w:val="004302F8"/>
    <w:rsid w:val="00430D6D"/>
    <w:rsid w:val="00433268"/>
    <w:rsid w:val="00436584"/>
    <w:rsid w:val="00436952"/>
    <w:rsid w:val="00436DEA"/>
    <w:rsid w:val="00437F2A"/>
    <w:rsid w:val="00440A4E"/>
    <w:rsid w:val="004412D6"/>
    <w:rsid w:val="00441CA5"/>
    <w:rsid w:val="00445054"/>
    <w:rsid w:val="00450DB6"/>
    <w:rsid w:val="0045111C"/>
    <w:rsid w:val="00451A54"/>
    <w:rsid w:val="004522B7"/>
    <w:rsid w:val="0045617B"/>
    <w:rsid w:val="00463977"/>
    <w:rsid w:val="00463B32"/>
    <w:rsid w:val="00463F7C"/>
    <w:rsid w:val="00465FF6"/>
    <w:rsid w:val="00466361"/>
    <w:rsid w:val="00471405"/>
    <w:rsid w:val="00471F26"/>
    <w:rsid w:val="0047472C"/>
    <w:rsid w:val="00474A7E"/>
    <w:rsid w:val="00474C11"/>
    <w:rsid w:val="004809AE"/>
    <w:rsid w:val="0048349C"/>
    <w:rsid w:val="004845C1"/>
    <w:rsid w:val="00487163"/>
    <w:rsid w:val="00490A2D"/>
    <w:rsid w:val="00494DD7"/>
    <w:rsid w:val="00495D07"/>
    <w:rsid w:val="00496D2E"/>
    <w:rsid w:val="00497AC2"/>
    <w:rsid w:val="004A2216"/>
    <w:rsid w:val="004A2BBE"/>
    <w:rsid w:val="004A397B"/>
    <w:rsid w:val="004A650C"/>
    <w:rsid w:val="004A6991"/>
    <w:rsid w:val="004B0044"/>
    <w:rsid w:val="004B2214"/>
    <w:rsid w:val="004B5D78"/>
    <w:rsid w:val="004C5C5A"/>
    <w:rsid w:val="004D11D9"/>
    <w:rsid w:val="004D1EEF"/>
    <w:rsid w:val="004D2000"/>
    <w:rsid w:val="004D5F5F"/>
    <w:rsid w:val="004D67D2"/>
    <w:rsid w:val="004E43E3"/>
    <w:rsid w:val="004F1850"/>
    <w:rsid w:val="004F35C8"/>
    <w:rsid w:val="004F3894"/>
    <w:rsid w:val="004F7B5A"/>
    <w:rsid w:val="0050084D"/>
    <w:rsid w:val="00504FBD"/>
    <w:rsid w:val="00505C97"/>
    <w:rsid w:val="0051379F"/>
    <w:rsid w:val="00514529"/>
    <w:rsid w:val="00517B33"/>
    <w:rsid w:val="005223D5"/>
    <w:rsid w:val="00527A30"/>
    <w:rsid w:val="00527F09"/>
    <w:rsid w:val="005301DE"/>
    <w:rsid w:val="00532932"/>
    <w:rsid w:val="005359E6"/>
    <w:rsid w:val="0054087B"/>
    <w:rsid w:val="00543AA6"/>
    <w:rsid w:val="005457BB"/>
    <w:rsid w:val="00547D12"/>
    <w:rsid w:val="00550A56"/>
    <w:rsid w:val="005550AE"/>
    <w:rsid w:val="00560E8A"/>
    <w:rsid w:val="00564E49"/>
    <w:rsid w:val="005676E2"/>
    <w:rsid w:val="005679A6"/>
    <w:rsid w:val="0057137F"/>
    <w:rsid w:val="0057178D"/>
    <w:rsid w:val="00573B00"/>
    <w:rsid w:val="0057669C"/>
    <w:rsid w:val="00576D4F"/>
    <w:rsid w:val="00577FDF"/>
    <w:rsid w:val="00580C89"/>
    <w:rsid w:val="0058477B"/>
    <w:rsid w:val="00586FD7"/>
    <w:rsid w:val="00587357"/>
    <w:rsid w:val="0059267A"/>
    <w:rsid w:val="005973C7"/>
    <w:rsid w:val="005A08D3"/>
    <w:rsid w:val="005A0BA7"/>
    <w:rsid w:val="005A16D6"/>
    <w:rsid w:val="005A17A8"/>
    <w:rsid w:val="005A7698"/>
    <w:rsid w:val="005B2A3F"/>
    <w:rsid w:val="005C30EF"/>
    <w:rsid w:val="005C5272"/>
    <w:rsid w:val="005C5E5E"/>
    <w:rsid w:val="005D077A"/>
    <w:rsid w:val="005D127D"/>
    <w:rsid w:val="005D3E75"/>
    <w:rsid w:val="005E1B28"/>
    <w:rsid w:val="005E2548"/>
    <w:rsid w:val="005E6D30"/>
    <w:rsid w:val="005F1421"/>
    <w:rsid w:val="005F7561"/>
    <w:rsid w:val="00600D27"/>
    <w:rsid w:val="00602FAC"/>
    <w:rsid w:val="00603FD5"/>
    <w:rsid w:val="00607506"/>
    <w:rsid w:val="00611337"/>
    <w:rsid w:val="00611C48"/>
    <w:rsid w:val="0061204C"/>
    <w:rsid w:val="0061741E"/>
    <w:rsid w:val="00621B89"/>
    <w:rsid w:val="006236D9"/>
    <w:rsid w:val="0062436F"/>
    <w:rsid w:val="00627E33"/>
    <w:rsid w:val="00630A01"/>
    <w:rsid w:val="00631D31"/>
    <w:rsid w:val="006329DE"/>
    <w:rsid w:val="006351A5"/>
    <w:rsid w:val="00635201"/>
    <w:rsid w:val="006374AB"/>
    <w:rsid w:val="0064785B"/>
    <w:rsid w:val="0065077A"/>
    <w:rsid w:val="006511B3"/>
    <w:rsid w:val="006570C1"/>
    <w:rsid w:val="00661008"/>
    <w:rsid w:val="0066283F"/>
    <w:rsid w:val="00663DB3"/>
    <w:rsid w:val="006658F4"/>
    <w:rsid w:val="00666C1C"/>
    <w:rsid w:val="00667232"/>
    <w:rsid w:val="0066747C"/>
    <w:rsid w:val="0067374C"/>
    <w:rsid w:val="00680408"/>
    <w:rsid w:val="006808CB"/>
    <w:rsid w:val="0068457F"/>
    <w:rsid w:val="00687A31"/>
    <w:rsid w:val="0069013E"/>
    <w:rsid w:val="006919F5"/>
    <w:rsid w:val="00695112"/>
    <w:rsid w:val="006966C8"/>
    <w:rsid w:val="006A4B3F"/>
    <w:rsid w:val="006A5C87"/>
    <w:rsid w:val="006A6828"/>
    <w:rsid w:val="006A6F79"/>
    <w:rsid w:val="006B0246"/>
    <w:rsid w:val="006B4444"/>
    <w:rsid w:val="006B5825"/>
    <w:rsid w:val="006B67DF"/>
    <w:rsid w:val="006C29AA"/>
    <w:rsid w:val="006C2D93"/>
    <w:rsid w:val="006C2F62"/>
    <w:rsid w:val="006C3428"/>
    <w:rsid w:val="006D1B07"/>
    <w:rsid w:val="006D1EF5"/>
    <w:rsid w:val="006D2B0F"/>
    <w:rsid w:val="006D53CB"/>
    <w:rsid w:val="006D78B5"/>
    <w:rsid w:val="006D798B"/>
    <w:rsid w:val="006E03A8"/>
    <w:rsid w:val="006E1284"/>
    <w:rsid w:val="006E3CC9"/>
    <w:rsid w:val="006E5D65"/>
    <w:rsid w:val="006F2836"/>
    <w:rsid w:val="006F6927"/>
    <w:rsid w:val="00701F73"/>
    <w:rsid w:val="0070210F"/>
    <w:rsid w:val="00704266"/>
    <w:rsid w:val="00704876"/>
    <w:rsid w:val="00710BA3"/>
    <w:rsid w:val="007118EC"/>
    <w:rsid w:val="00713DB1"/>
    <w:rsid w:val="007143A1"/>
    <w:rsid w:val="0071640E"/>
    <w:rsid w:val="0071799C"/>
    <w:rsid w:val="00722BE0"/>
    <w:rsid w:val="00724CCD"/>
    <w:rsid w:val="0073055F"/>
    <w:rsid w:val="00731ED0"/>
    <w:rsid w:val="00732D2A"/>
    <w:rsid w:val="0073782B"/>
    <w:rsid w:val="0074011E"/>
    <w:rsid w:val="00744C95"/>
    <w:rsid w:val="007467CE"/>
    <w:rsid w:val="00746E43"/>
    <w:rsid w:val="00750195"/>
    <w:rsid w:val="00754F6D"/>
    <w:rsid w:val="00755E4B"/>
    <w:rsid w:val="00756CA7"/>
    <w:rsid w:val="00762026"/>
    <w:rsid w:val="007630EF"/>
    <w:rsid w:val="007641AE"/>
    <w:rsid w:val="007657D0"/>
    <w:rsid w:val="007755EE"/>
    <w:rsid w:val="00781389"/>
    <w:rsid w:val="007825DC"/>
    <w:rsid w:val="0078443C"/>
    <w:rsid w:val="00790DAC"/>
    <w:rsid w:val="0079593F"/>
    <w:rsid w:val="00795A1D"/>
    <w:rsid w:val="0079679E"/>
    <w:rsid w:val="00796FF7"/>
    <w:rsid w:val="007A1F61"/>
    <w:rsid w:val="007A4DBE"/>
    <w:rsid w:val="007A69E4"/>
    <w:rsid w:val="007A7CC2"/>
    <w:rsid w:val="007B2BB8"/>
    <w:rsid w:val="007B6E15"/>
    <w:rsid w:val="007C3C06"/>
    <w:rsid w:val="007C4269"/>
    <w:rsid w:val="007C5297"/>
    <w:rsid w:val="007C7264"/>
    <w:rsid w:val="007D23E8"/>
    <w:rsid w:val="007D3474"/>
    <w:rsid w:val="007D5272"/>
    <w:rsid w:val="007D5877"/>
    <w:rsid w:val="007E4FA8"/>
    <w:rsid w:val="007E5972"/>
    <w:rsid w:val="007E721F"/>
    <w:rsid w:val="007F0ED3"/>
    <w:rsid w:val="007F457C"/>
    <w:rsid w:val="007F6220"/>
    <w:rsid w:val="00800D93"/>
    <w:rsid w:val="00802E9E"/>
    <w:rsid w:val="00803B50"/>
    <w:rsid w:val="00806EEA"/>
    <w:rsid w:val="008074ED"/>
    <w:rsid w:val="0081259A"/>
    <w:rsid w:val="00814F3A"/>
    <w:rsid w:val="00816BE5"/>
    <w:rsid w:val="00822252"/>
    <w:rsid w:val="00822F16"/>
    <w:rsid w:val="00825141"/>
    <w:rsid w:val="008271A3"/>
    <w:rsid w:val="008279D1"/>
    <w:rsid w:val="00831F48"/>
    <w:rsid w:val="00832173"/>
    <w:rsid w:val="008333FA"/>
    <w:rsid w:val="0083410C"/>
    <w:rsid w:val="0084112C"/>
    <w:rsid w:val="008411E8"/>
    <w:rsid w:val="00846AFB"/>
    <w:rsid w:val="00850AAD"/>
    <w:rsid w:val="00853DA8"/>
    <w:rsid w:val="008571B6"/>
    <w:rsid w:val="0086542B"/>
    <w:rsid w:val="0086664F"/>
    <w:rsid w:val="00870321"/>
    <w:rsid w:val="00873975"/>
    <w:rsid w:val="00874122"/>
    <w:rsid w:val="0088142F"/>
    <w:rsid w:val="008826FF"/>
    <w:rsid w:val="00884190"/>
    <w:rsid w:val="0089160C"/>
    <w:rsid w:val="00891E8F"/>
    <w:rsid w:val="00892AC1"/>
    <w:rsid w:val="00892B70"/>
    <w:rsid w:val="00893822"/>
    <w:rsid w:val="0089566F"/>
    <w:rsid w:val="008A0F96"/>
    <w:rsid w:val="008A1721"/>
    <w:rsid w:val="008A2650"/>
    <w:rsid w:val="008A31EE"/>
    <w:rsid w:val="008B2A6F"/>
    <w:rsid w:val="008B3092"/>
    <w:rsid w:val="008C01EB"/>
    <w:rsid w:val="008C356C"/>
    <w:rsid w:val="008C7DCE"/>
    <w:rsid w:val="008D064F"/>
    <w:rsid w:val="008D61BB"/>
    <w:rsid w:val="008D7E9A"/>
    <w:rsid w:val="008E0283"/>
    <w:rsid w:val="008E2F07"/>
    <w:rsid w:val="008E437F"/>
    <w:rsid w:val="008E53BA"/>
    <w:rsid w:val="008E59D0"/>
    <w:rsid w:val="008F0855"/>
    <w:rsid w:val="008F0C32"/>
    <w:rsid w:val="008F14A6"/>
    <w:rsid w:val="008F5643"/>
    <w:rsid w:val="00900DB6"/>
    <w:rsid w:val="00903875"/>
    <w:rsid w:val="00911225"/>
    <w:rsid w:val="00911EF3"/>
    <w:rsid w:val="009124D6"/>
    <w:rsid w:val="00920075"/>
    <w:rsid w:val="009213DF"/>
    <w:rsid w:val="00926ABB"/>
    <w:rsid w:val="00927230"/>
    <w:rsid w:val="0093091F"/>
    <w:rsid w:val="00930B85"/>
    <w:rsid w:val="00932C51"/>
    <w:rsid w:val="009402AF"/>
    <w:rsid w:val="00940B5D"/>
    <w:rsid w:val="00940E44"/>
    <w:rsid w:val="00943965"/>
    <w:rsid w:val="00946AEE"/>
    <w:rsid w:val="00946D0C"/>
    <w:rsid w:val="00952617"/>
    <w:rsid w:val="00952B18"/>
    <w:rsid w:val="00954F75"/>
    <w:rsid w:val="009574EC"/>
    <w:rsid w:val="009642F0"/>
    <w:rsid w:val="00966609"/>
    <w:rsid w:val="0096738E"/>
    <w:rsid w:val="00967BD9"/>
    <w:rsid w:val="009740EE"/>
    <w:rsid w:val="00977762"/>
    <w:rsid w:val="00980463"/>
    <w:rsid w:val="00985C8E"/>
    <w:rsid w:val="00991E80"/>
    <w:rsid w:val="00992B8F"/>
    <w:rsid w:val="00992D6F"/>
    <w:rsid w:val="009952B4"/>
    <w:rsid w:val="009A04EB"/>
    <w:rsid w:val="009A07C3"/>
    <w:rsid w:val="009A4468"/>
    <w:rsid w:val="009A5887"/>
    <w:rsid w:val="009A6D1C"/>
    <w:rsid w:val="009B0098"/>
    <w:rsid w:val="009B068E"/>
    <w:rsid w:val="009B11B4"/>
    <w:rsid w:val="009B1329"/>
    <w:rsid w:val="009B7077"/>
    <w:rsid w:val="009C1C0E"/>
    <w:rsid w:val="009C2614"/>
    <w:rsid w:val="009C620C"/>
    <w:rsid w:val="009C6414"/>
    <w:rsid w:val="009C6440"/>
    <w:rsid w:val="009C6CE7"/>
    <w:rsid w:val="009D205F"/>
    <w:rsid w:val="009D21F2"/>
    <w:rsid w:val="009E0F3D"/>
    <w:rsid w:val="009E10AA"/>
    <w:rsid w:val="009E476A"/>
    <w:rsid w:val="009E7E00"/>
    <w:rsid w:val="009F00DE"/>
    <w:rsid w:val="009F024A"/>
    <w:rsid w:val="009F5116"/>
    <w:rsid w:val="009F7AFD"/>
    <w:rsid w:val="00A03E11"/>
    <w:rsid w:val="00A04165"/>
    <w:rsid w:val="00A051C7"/>
    <w:rsid w:val="00A06D57"/>
    <w:rsid w:val="00A127A0"/>
    <w:rsid w:val="00A12BE5"/>
    <w:rsid w:val="00A160D1"/>
    <w:rsid w:val="00A16FC5"/>
    <w:rsid w:val="00A1762A"/>
    <w:rsid w:val="00A204C2"/>
    <w:rsid w:val="00A23A1C"/>
    <w:rsid w:val="00A259B7"/>
    <w:rsid w:val="00A27119"/>
    <w:rsid w:val="00A33EA2"/>
    <w:rsid w:val="00A374B0"/>
    <w:rsid w:val="00A4048D"/>
    <w:rsid w:val="00A410F0"/>
    <w:rsid w:val="00A43589"/>
    <w:rsid w:val="00A451E2"/>
    <w:rsid w:val="00A4717C"/>
    <w:rsid w:val="00A54E0E"/>
    <w:rsid w:val="00A54FDF"/>
    <w:rsid w:val="00A55520"/>
    <w:rsid w:val="00A56722"/>
    <w:rsid w:val="00A577F7"/>
    <w:rsid w:val="00A57B16"/>
    <w:rsid w:val="00A57B3F"/>
    <w:rsid w:val="00A609AF"/>
    <w:rsid w:val="00A649FE"/>
    <w:rsid w:val="00A6550F"/>
    <w:rsid w:val="00A6717E"/>
    <w:rsid w:val="00A6784E"/>
    <w:rsid w:val="00A7178D"/>
    <w:rsid w:val="00A71D8F"/>
    <w:rsid w:val="00A73182"/>
    <w:rsid w:val="00A746CA"/>
    <w:rsid w:val="00A76E93"/>
    <w:rsid w:val="00A805F6"/>
    <w:rsid w:val="00A80E9A"/>
    <w:rsid w:val="00A81C8A"/>
    <w:rsid w:val="00A85862"/>
    <w:rsid w:val="00A878F9"/>
    <w:rsid w:val="00A92093"/>
    <w:rsid w:val="00A9210D"/>
    <w:rsid w:val="00A93138"/>
    <w:rsid w:val="00A93DC7"/>
    <w:rsid w:val="00A93F18"/>
    <w:rsid w:val="00A964BC"/>
    <w:rsid w:val="00AA0E29"/>
    <w:rsid w:val="00AA7CFC"/>
    <w:rsid w:val="00AB14FB"/>
    <w:rsid w:val="00AB2615"/>
    <w:rsid w:val="00AC1220"/>
    <w:rsid w:val="00AC3B9C"/>
    <w:rsid w:val="00AC42E0"/>
    <w:rsid w:val="00AC54BE"/>
    <w:rsid w:val="00AC6C2F"/>
    <w:rsid w:val="00AC79A3"/>
    <w:rsid w:val="00AD1500"/>
    <w:rsid w:val="00AD4010"/>
    <w:rsid w:val="00AD71A8"/>
    <w:rsid w:val="00AD7229"/>
    <w:rsid w:val="00AE0FE3"/>
    <w:rsid w:val="00AE11A2"/>
    <w:rsid w:val="00AE1D36"/>
    <w:rsid w:val="00AE222C"/>
    <w:rsid w:val="00AE265C"/>
    <w:rsid w:val="00AE3A06"/>
    <w:rsid w:val="00AE4855"/>
    <w:rsid w:val="00AF0F0D"/>
    <w:rsid w:val="00AF2AD8"/>
    <w:rsid w:val="00AF777B"/>
    <w:rsid w:val="00B00231"/>
    <w:rsid w:val="00B00C1F"/>
    <w:rsid w:val="00B03CB1"/>
    <w:rsid w:val="00B04401"/>
    <w:rsid w:val="00B07DE6"/>
    <w:rsid w:val="00B200A9"/>
    <w:rsid w:val="00B20F09"/>
    <w:rsid w:val="00B23D68"/>
    <w:rsid w:val="00B26985"/>
    <w:rsid w:val="00B26CBD"/>
    <w:rsid w:val="00B32177"/>
    <w:rsid w:val="00B3690B"/>
    <w:rsid w:val="00B43210"/>
    <w:rsid w:val="00B50E60"/>
    <w:rsid w:val="00B533A5"/>
    <w:rsid w:val="00B55B1A"/>
    <w:rsid w:val="00B568C8"/>
    <w:rsid w:val="00B56FC2"/>
    <w:rsid w:val="00B60616"/>
    <w:rsid w:val="00B6152E"/>
    <w:rsid w:val="00B62767"/>
    <w:rsid w:val="00B775DA"/>
    <w:rsid w:val="00B821F1"/>
    <w:rsid w:val="00B8271A"/>
    <w:rsid w:val="00B83DFE"/>
    <w:rsid w:val="00B905B4"/>
    <w:rsid w:val="00B9305B"/>
    <w:rsid w:val="00B95993"/>
    <w:rsid w:val="00BA56DD"/>
    <w:rsid w:val="00BB014F"/>
    <w:rsid w:val="00BD23A0"/>
    <w:rsid w:val="00BD2AE4"/>
    <w:rsid w:val="00BD38DD"/>
    <w:rsid w:val="00BD505D"/>
    <w:rsid w:val="00BE2CDA"/>
    <w:rsid w:val="00BE4D71"/>
    <w:rsid w:val="00BE5CA5"/>
    <w:rsid w:val="00BE5F37"/>
    <w:rsid w:val="00BF054C"/>
    <w:rsid w:val="00BF2442"/>
    <w:rsid w:val="00BF451C"/>
    <w:rsid w:val="00C0042C"/>
    <w:rsid w:val="00C02EDF"/>
    <w:rsid w:val="00C04F6B"/>
    <w:rsid w:val="00C12C61"/>
    <w:rsid w:val="00C15474"/>
    <w:rsid w:val="00C2134C"/>
    <w:rsid w:val="00C22D89"/>
    <w:rsid w:val="00C23786"/>
    <w:rsid w:val="00C23DEB"/>
    <w:rsid w:val="00C24423"/>
    <w:rsid w:val="00C254A7"/>
    <w:rsid w:val="00C25E18"/>
    <w:rsid w:val="00C26A52"/>
    <w:rsid w:val="00C334FF"/>
    <w:rsid w:val="00C33523"/>
    <w:rsid w:val="00C34E62"/>
    <w:rsid w:val="00C3521E"/>
    <w:rsid w:val="00C3534B"/>
    <w:rsid w:val="00C41065"/>
    <w:rsid w:val="00C42276"/>
    <w:rsid w:val="00C453C8"/>
    <w:rsid w:val="00C47439"/>
    <w:rsid w:val="00C51FCD"/>
    <w:rsid w:val="00C52382"/>
    <w:rsid w:val="00C546DA"/>
    <w:rsid w:val="00C56A82"/>
    <w:rsid w:val="00C56F8D"/>
    <w:rsid w:val="00C62A3F"/>
    <w:rsid w:val="00C63829"/>
    <w:rsid w:val="00C64BD6"/>
    <w:rsid w:val="00C70120"/>
    <w:rsid w:val="00C72AC5"/>
    <w:rsid w:val="00C73B5A"/>
    <w:rsid w:val="00C73EAA"/>
    <w:rsid w:val="00C75238"/>
    <w:rsid w:val="00C76354"/>
    <w:rsid w:val="00C77198"/>
    <w:rsid w:val="00C77A0C"/>
    <w:rsid w:val="00C80071"/>
    <w:rsid w:val="00C81E35"/>
    <w:rsid w:val="00C82ACA"/>
    <w:rsid w:val="00C84E94"/>
    <w:rsid w:val="00C87FF1"/>
    <w:rsid w:val="00C939DA"/>
    <w:rsid w:val="00C953E6"/>
    <w:rsid w:val="00C955EC"/>
    <w:rsid w:val="00CA54D3"/>
    <w:rsid w:val="00CA62EB"/>
    <w:rsid w:val="00CA7DB8"/>
    <w:rsid w:val="00CB0B10"/>
    <w:rsid w:val="00CB0CD4"/>
    <w:rsid w:val="00CB4D26"/>
    <w:rsid w:val="00CB73EA"/>
    <w:rsid w:val="00CC3151"/>
    <w:rsid w:val="00CC43FC"/>
    <w:rsid w:val="00CC4B5E"/>
    <w:rsid w:val="00CD0B25"/>
    <w:rsid w:val="00CD427F"/>
    <w:rsid w:val="00CD54A6"/>
    <w:rsid w:val="00CE005A"/>
    <w:rsid w:val="00CE4353"/>
    <w:rsid w:val="00CE498B"/>
    <w:rsid w:val="00CE6293"/>
    <w:rsid w:val="00CF0FAE"/>
    <w:rsid w:val="00CF5020"/>
    <w:rsid w:val="00CF60D7"/>
    <w:rsid w:val="00D00991"/>
    <w:rsid w:val="00D01EDD"/>
    <w:rsid w:val="00D042D7"/>
    <w:rsid w:val="00D07959"/>
    <w:rsid w:val="00D107F6"/>
    <w:rsid w:val="00D10D92"/>
    <w:rsid w:val="00D145EB"/>
    <w:rsid w:val="00D20A45"/>
    <w:rsid w:val="00D22279"/>
    <w:rsid w:val="00D22AE6"/>
    <w:rsid w:val="00D25A26"/>
    <w:rsid w:val="00D32F55"/>
    <w:rsid w:val="00D40775"/>
    <w:rsid w:val="00D41A86"/>
    <w:rsid w:val="00D434E3"/>
    <w:rsid w:val="00D4420E"/>
    <w:rsid w:val="00D446C5"/>
    <w:rsid w:val="00D55203"/>
    <w:rsid w:val="00D608EB"/>
    <w:rsid w:val="00D6239E"/>
    <w:rsid w:val="00D63417"/>
    <w:rsid w:val="00D6785F"/>
    <w:rsid w:val="00D7086D"/>
    <w:rsid w:val="00D71A8C"/>
    <w:rsid w:val="00D75A6D"/>
    <w:rsid w:val="00D76594"/>
    <w:rsid w:val="00D822F5"/>
    <w:rsid w:val="00D8368C"/>
    <w:rsid w:val="00D84B6E"/>
    <w:rsid w:val="00D84D48"/>
    <w:rsid w:val="00D86697"/>
    <w:rsid w:val="00D87FF0"/>
    <w:rsid w:val="00DA3E8F"/>
    <w:rsid w:val="00DB0B82"/>
    <w:rsid w:val="00DB184E"/>
    <w:rsid w:val="00DC0BD7"/>
    <w:rsid w:val="00DC4997"/>
    <w:rsid w:val="00DC5407"/>
    <w:rsid w:val="00DD01F0"/>
    <w:rsid w:val="00DD1E84"/>
    <w:rsid w:val="00DD6AEC"/>
    <w:rsid w:val="00DE1B3E"/>
    <w:rsid w:val="00DE3DB0"/>
    <w:rsid w:val="00DE5E61"/>
    <w:rsid w:val="00DE774B"/>
    <w:rsid w:val="00DF0886"/>
    <w:rsid w:val="00DF1432"/>
    <w:rsid w:val="00DF45DE"/>
    <w:rsid w:val="00DF78E1"/>
    <w:rsid w:val="00E024E1"/>
    <w:rsid w:val="00E034C9"/>
    <w:rsid w:val="00E103AC"/>
    <w:rsid w:val="00E10492"/>
    <w:rsid w:val="00E20031"/>
    <w:rsid w:val="00E21E74"/>
    <w:rsid w:val="00E22241"/>
    <w:rsid w:val="00E23E4B"/>
    <w:rsid w:val="00E25802"/>
    <w:rsid w:val="00E31257"/>
    <w:rsid w:val="00E34552"/>
    <w:rsid w:val="00E40421"/>
    <w:rsid w:val="00E409FA"/>
    <w:rsid w:val="00E4145D"/>
    <w:rsid w:val="00E426C0"/>
    <w:rsid w:val="00E43E95"/>
    <w:rsid w:val="00E51AF5"/>
    <w:rsid w:val="00E51C7C"/>
    <w:rsid w:val="00E52184"/>
    <w:rsid w:val="00E52A08"/>
    <w:rsid w:val="00E54E61"/>
    <w:rsid w:val="00E5589C"/>
    <w:rsid w:val="00E602EC"/>
    <w:rsid w:val="00E6726B"/>
    <w:rsid w:val="00E7126A"/>
    <w:rsid w:val="00E73536"/>
    <w:rsid w:val="00E73D26"/>
    <w:rsid w:val="00E7539C"/>
    <w:rsid w:val="00E7676D"/>
    <w:rsid w:val="00E777C7"/>
    <w:rsid w:val="00E80143"/>
    <w:rsid w:val="00E80B44"/>
    <w:rsid w:val="00E83FD8"/>
    <w:rsid w:val="00E86D93"/>
    <w:rsid w:val="00E86DF7"/>
    <w:rsid w:val="00EA34AF"/>
    <w:rsid w:val="00EA5494"/>
    <w:rsid w:val="00EB54EB"/>
    <w:rsid w:val="00EB5949"/>
    <w:rsid w:val="00EC1D53"/>
    <w:rsid w:val="00EC38E7"/>
    <w:rsid w:val="00EC5D96"/>
    <w:rsid w:val="00ED5647"/>
    <w:rsid w:val="00EE0A34"/>
    <w:rsid w:val="00EE33E2"/>
    <w:rsid w:val="00EE479C"/>
    <w:rsid w:val="00EE56BF"/>
    <w:rsid w:val="00EE5B40"/>
    <w:rsid w:val="00EF313B"/>
    <w:rsid w:val="00EF45A4"/>
    <w:rsid w:val="00EF479F"/>
    <w:rsid w:val="00F00FAC"/>
    <w:rsid w:val="00F04027"/>
    <w:rsid w:val="00F06542"/>
    <w:rsid w:val="00F06B5A"/>
    <w:rsid w:val="00F07B25"/>
    <w:rsid w:val="00F14102"/>
    <w:rsid w:val="00F177BB"/>
    <w:rsid w:val="00F268C3"/>
    <w:rsid w:val="00F26D6F"/>
    <w:rsid w:val="00F305F9"/>
    <w:rsid w:val="00F34547"/>
    <w:rsid w:val="00F3686E"/>
    <w:rsid w:val="00F46601"/>
    <w:rsid w:val="00F55CC4"/>
    <w:rsid w:val="00F57687"/>
    <w:rsid w:val="00F624C9"/>
    <w:rsid w:val="00F62B58"/>
    <w:rsid w:val="00F637E7"/>
    <w:rsid w:val="00F63C14"/>
    <w:rsid w:val="00F663E4"/>
    <w:rsid w:val="00F67CD3"/>
    <w:rsid w:val="00F7685B"/>
    <w:rsid w:val="00F87061"/>
    <w:rsid w:val="00F90544"/>
    <w:rsid w:val="00F9077F"/>
    <w:rsid w:val="00F929D5"/>
    <w:rsid w:val="00F9452F"/>
    <w:rsid w:val="00F958F9"/>
    <w:rsid w:val="00F96EAE"/>
    <w:rsid w:val="00FA0D5B"/>
    <w:rsid w:val="00FA1CD4"/>
    <w:rsid w:val="00FA2BC3"/>
    <w:rsid w:val="00FA2C22"/>
    <w:rsid w:val="00FA54AD"/>
    <w:rsid w:val="00FB1862"/>
    <w:rsid w:val="00FB3654"/>
    <w:rsid w:val="00FB3799"/>
    <w:rsid w:val="00FB4B87"/>
    <w:rsid w:val="00FB5378"/>
    <w:rsid w:val="00FB71AD"/>
    <w:rsid w:val="00FB7369"/>
    <w:rsid w:val="00FC77D0"/>
    <w:rsid w:val="00FD3767"/>
    <w:rsid w:val="00FD49B7"/>
    <w:rsid w:val="00FD5392"/>
    <w:rsid w:val="00FD5FDF"/>
    <w:rsid w:val="00FE3E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F3059"/>
  <w15:chartTrackingRefBased/>
  <w15:docId w15:val="{58EC7E7C-6A97-494E-B440-191CFD6B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Cs w:val="22"/>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E84"/>
    <w:rPr>
      <w:rFonts w:cs="Times New Roman"/>
      <w:kern w:val="0"/>
      <w:szCs w:val="20"/>
      <w:lang w:val="en-GB"/>
      <w14:ligatures w14:val="none"/>
    </w:rPr>
  </w:style>
  <w:style w:type="paragraph" w:styleId="Heading1">
    <w:name w:val="heading 1"/>
    <w:basedOn w:val="Normal"/>
    <w:next w:val="Normal"/>
    <w:link w:val="Heading1Char"/>
    <w:autoRedefine/>
    <w:uiPriority w:val="9"/>
    <w:qFormat/>
    <w:rsid w:val="00DC5407"/>
    <w:pPr>
      <w:keepNext/>
      <w:keepLines/>
      <w:widowControl w:val="0"/>
      <w:numPr>
        <w:numId w:val="1"/>
      </w:numPr>
      <w:ind w:left="360"/>
      <w:outlineLvl w:val="0"/>
    </w:pPr>
    <w:rPr>
      <w:rFonts w:ascii="Times New Roman Bold" w:eastAsia="Times New Roman" w:hAnsi="Times New Roman Bold"/>
      <w:b/>
      <w:bCs/>
      <w:caps/>
    </w:rPr>
  </w:style>
  <w:style w:type="paragraph" w:styleId="Heading2">
    <w:name w:val="heading 2"/>
    <w:basedOn w:val="NoSpacing"/>
    <w:next w:val="Normal"/>
    <w:link w:val="Heading2Char"/>
    <w:autoRedefine/>
    <w:uiPriority w:val="9"/>
    <w:unhideWhenUsed/>
    <w:qFormat/>
    <w:rsid w:val="00B04401"/>
    <w:pPr>
      <w:numPr>
        <w:numId w:val="44"/>
      </w:numPr>
    </w:pPr>
    <w:rPr>
      <w:i w:val="0"/>
      <w:iCs/>
    </w:rPr>
  </w:style>
  <w:style w:type="paragraph" w:styleId="Heading3">
    <w:name w:val="heading 3"/>
    <w:aliases w:val="Level 3"/>
    <w:basedOn w:val="Normal"/>
    <w:next w:val="Normal"/>
    <w:link w:val="Heading3Char"/>
    <w:autoRedefine/>
    <w:uiPriority w:val="9"/>
    <w:unhideWhenUsed/>
    <w:qFormat/>
    <w:rsid w:val="00DC5407"/>
    <w:pPr>
      <w:ind w:firstLine="360"/>
      <w:outlineLvl w:val="2"/>
    </w:pPr>
    <w:rPr>
      <w:b/>
      <w:bCs/>
      <w:u w:val="single"/>
    </w:rPr>
  </w:style>
  <w:style w:type="paragraph" w:styleId="Heading4">
    <w:name w:val="heading 4"/>
    <w:basedOn w:val="Normal"/>
    <w:next w:val="Normal"/>
    <w:link w:val="Heading4Char"/>
    <w:uiPriority w:val="9"/>
    <w:unhideWhenUsed/>
    <w:qFormat/>
    <w:rsid w:val="00DD1E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1E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1E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E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E8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E8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407"/>
    <w:rPr>
      <w:rFonts w:ascii="Times New Roman Bold" w:eastAsia="Times New Roman" w:hAnsi="Times New Roman Bold" w:cs="Times New Roman"/>
      <w:b/>
      <w:bCs/>
      <w:caps/>
      <w:kern w:val="0"/>
      <w:szCs w:val="20"/>
      <w:lang w:val="en-GB"/>
      <w14:ligatures w14:val="none"/>
    </w:rPr>
  </w:style>
  <w:style w:type="character" w:customStyle="1" w:styleId="Heading2Char">
    <w:name w:val="Heading 2 Char"/>
    <w:basedOn w:val="DefaultParagraphFont"/>
    <w:link w:val="Heading2"/>
    <w:uiPriority w:val="9"/>
    <w:rsid w:val="00B04401"/>
    <w:rPr>
      <w:rFonts w:cs="Times New Roman"/>
      <w:b/>
      <w:iCs/>
      <w:kern w:val="0"/>
      <w:szCs w:val="20"/>
      <w:lang w:val="en-GB"/>
      <w14:ligatures w14:val="none"/>
    </w:rPr>
  </w:style>
  <w:style w:type="character" w:customStyle="1" w:styleId="Heading3Char">
    <w:name w:val="Heading 3 Char"/>
    <w:aliases w:val="Level 3 Char"/>
    <w:basedOn w:val="DefaultParagraphFont"/>
    <w:link w:val="Heading3"/>
    <w:uiPriority w:val="9"/>
    <w:rsid w:val="00DC5407"/>
    <w:rPr>
      <w:rFonts w:cs="Times New Roman"/>
      <w:b/>
      <w:bCs/>
      <w:kern w:val="0"/>
      <w:szCs w:val="20"/>
      <w:u w:val="single"/>
      <w:lang w:val="en-GB"/>
      <w14:ligatures w14:val="none"/>
    </w:rPr>
  </w:style>
  <w:style w:type="character" w:customStyle="1" w:styleId="Heading4Char">
    <w:name w:val="Heading 4 Char"/>
    <w:basedOn w:val="DefaultParagraphFont"/>
    <w:link w:val="Heading4"/>
    <w:uiPriority w:val="9"/>
    <w:rsid w:val="00DD1E8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D1E8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D1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1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1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1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1E8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1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E84"/>
    <w:rPr>
      <w:i/>
      <w:iCs/>
      <w:color w:val="404040" w:themeColor="text1" w:themeTint="BF"/>
    </w:rPr>
  </w:style>
  <w:style w:type="paragraph" w:styleId="ListParagraph">
    <w:name w:val="List Paragraph"/>
    <w:aliases w:val="DGP Main Text"/>
    <w:basedOn w:val="Normal"/>
    <w:link w:val="ListParagraphChar"/>
    <w:uiPriority w:val="34"/>
    <w:qFormat/>
    <w:rsid w:val="00DD1E84"/>
    <w:pPr>
      <w:ind w:left="720"/>
      <w:contextualSpacing/>
    </w:pPr>
  </w:style>
  <w:style w:type="character" w:styleId="IntenseEmphasis">
    <w:name w:val="Intense Emphasis"/>
    <w:basedOn w:val="DefaultParagraphFont"/>
    <w:uiPriority w:val="21"/>
    <w:qFormat/>
    <w:rsid w:val="00DD1E84"/>
    <w:rPr>
      <w:i/>
      <w:iCs/>
      <w:color w:val="2F5496" w:themeColor="accent1" w:themeShade="BF"/>
    </w:rPr>
  </w:style>
  <w:style w:type="paragraph" w:styleId="IntenseQuote">
    <w:name w:val="Intense Quote"/>
    <w:basedOn w:val="Normal"/>
    <w:next w:val="Normal"/>
    <w:link w:val="IntenseQuoteChar"/>
    <w:uiPriority w:val="30"/>
    <w:qFormat/>
    <w:rsid w:val="00DD1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E84"/>
    <w:rPr>
      <w:i/>
      <w:iCs/>
      <w:color w:val="2F5496" w:themeColor="accent1" w:themeShade="BF"/>
    </w:rPr>
  </w:style>
  <w:style w:type="character" w:styleId="IntenseReference">
    <w:name w:val="Intense Reference"/>
    <w:basedOn w:val="DefaultParagraphFont"/>
    <w:uiPriority w:val="32"/>
    <w:qFormat/>
    <w:rsid w:val="00DD1E84"/>
    <w:rPr>
      <w:b/>
      <w:bCs/>
      <w:smallCaps/>
      <w:color w:val="2F5496" w:themeColor="accent1" w:themeShade="BF"/>
      <w:spacing w:val="5"/>
    </w:rPr>
  </w:style>
  <w:style w:type="paragraph" w:styleId="FootnoteText">
    <w:name w:val="footnote text"/>
    <w:basedOn w:val="Normal"/>
    <w:link w:val="FootnoteTextChar"/>
    <w:uiPriority w:val="99"/>
    <w:unhideWhenUsed/>
    <w:qFormat/>
    <w:rsid w:val="00FA2C22"/>
    <w:pPr>
      <w:spacing w:line="240" w:lineRule="auto"/>
    </w:pPr>
    <w:rPr>
      <w:sz w:val="16"/>
    </w:rPr>
  </w:style>
  <w:style w:type="character" w:customStyle="1" w:styleId="FootnoteTextChar">
    <w:name w:val="Footnote Text Char"/>
    <w:basedOn w:val="DefaultParagraphFont"/>
    <w:link w:val="FootnoteText"/>
    <w:uiPriority w:val="99"/>
    <w:rsid w:val="00FA2C22"/>
    <w:rPr>
      <w:rFonts w:cs="Times New Roman"/>
      <w:kern w:val="0"/>
      <w:sz w:val="16"/>
      <w:szCs w:val="20"/>
      <w:lang w:val="en-GB"/>
      <w14:ligatures w14:val="none"/>
    </w:rPr>
  </w:style>
  <w:style w:type="character" w:styleId="FootnoteReference">
    <w:name w:val="footnote reference"/>
    <w:basedOn w:val="DefaultParagraphFont"/>
    <w:uiPriority w:val="99"/>
    <w:unhideWhenUsed/>
    <w:rsid w:val="00F46601"/>
    <w:rPr>
      <w:vertAlign w:val="superscript"/>
    </w:rPr>
  </w:style>
  <w:style w:type="character" w:styleId="CommentReference">
    <w:name w:val="annotation reference"/>
    <w:basedOn w:val="DefaultParagraphFont"/>
    <w:uiPriority w:val="99"/>
    <w:semiHidden/>
    <w:unhideWhenUsed/>
    <w:rsid w:val="003E4DDE"/>
    <w:rPr>
      <w:sz w:val="16"/>
      <w:szCs w:val="16"/>
    </w:rPr>
  </w:style>
  <w:style w:type="paragraph" w:styleId="CommentText">
    <w:name w:val="annotation text"/>
    <w:basedOn w:val="Normal"/>
    <w:link w:val="CommentTextChar"/>
    <w:uiPriority w:val="99"/>
    <w:unhideWhenUsed/>
    <w:rsid w:val="003E4DDE"/>
    <w:pPr>
      <w:spacing w:line="240" w:lineRule="auto"/>
    </w:pPr>
  </w:style>
  <w:style w:type="character" w:customStyle="1" w:styleId="CommentTextChar">
    <w:name w:val="Comment Text Char"/>
    <w:basedOn w:val="DefaultParagraphFont"/>
    <w:link w:val="CommentText"/>
    <w:uiPriority w:val="99"/>
    <w:rsid w:val="003E4DDE"/>
    <w:rPr>
      <w:rFonts w:cs="Times New Roman"/>
      <w:kern w:val="0"/>
      <w:szCs w:val="20"/>
      <w:lang w:val="en-GB"/>
      <w14:ligatures w14:val="none"/>
    </w:rPr>
  </w:style>
  <w:style w:type="paragraph" w:styleId="CommentSubject">
    <w:name w:val="annotation subject"/>
    <w:basedOn w:val="CommentText"/>
    <w:next w:val="CommentText"/>
    <w:link w:val="CommentSubjectChar"/>
    <w:uiPriority w:val="99"/>
    <w:semiHidden/>
    <w:unhideWhenUsed/>
    <w:rsid w:val="003E4DDE"/>
    <w:rPr>
      <w:b/>
      <w:bCs/>
    </w:rPr>
  </w:style>
  <w:style w:type="character" w:customStyle="1" w:styleId="CommentSubjectChar">
    <w:name w:val="Comment Subject Char"/>
    <w:basedOn w:val="CommentTextChar"/>
    <w:link w:val="CommentSubject"/>
    <w:uiPriority w:val="99"/>
    <w:semiHidden/>
    <w:rsid w:val="003E4DDE"/>
    <w:rPr>
      <w:rFonts w:cs="Times New Roman"/>
      <w:b/>
      <w:bCs/>
      <w:kern w:val="0"/>
      <w:szCs w:val="20"/>
      <w:lang w:val="en-GB"/>
      <w14:ligatures w14:val="none"/>
    </w:rPr>
  </w:style>
  <w:style w:type="paragraph" w:styleId="NoSpacing">
    <w:name w:val="No Spacing"/>
    <w:basedOn w:val="Normal"/>
    <w:uiPriority w:val="1"/>
    <w:qFormat/>
    <w:rsid w:val="00D00991"/>
    <w:pPr>
      <w:numPr>
        <w:numId w:val="5"/>
      </w:numPr>
      <w:ind w:right="360"/>
      <w:outlineLvl w:val="1"/>
    </w:pPr>
    <w:rPr>
      <w:b/>
      <w:i/>
    </w:rPr>
  </w:style>
  <w:style w:type="paragraph" w:styleId="Header">
    <w:name w:val="header"/>
    <w:basedOn w:val="Normal"/>
    <w:link w:val="HeaderChar"/>
    <w:uiPriority w:val="99"/>
    <w:unhideWhenUsed/>
    <w:rsid w:val="00A204C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204C2"/>
    <w:rPr>
      <w:rFonts w:cs="Times New Roman"/>
      <w:kern w:val="0"/>
      <w:szCs w:val="20"/>
      <w:lang w:val="en-GB"/>
      <w14:ligatures w14:val="none"/>
    </w:rPr>
  </w:style>
  <w:style w:type="paragraph" w:styleId="Footer">
    <w:name w:val="footer"/>
    <w:basedOn w:val="Normal"/>
    <w:link w:val="FooterChar"/>
    <w:uiPriority w:val="99"/>
    <w:unhideWhenUsed/>
    <w:rsid w:val="00A204C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204C2"/>
    <w:rPr>
      <w:rFonts w:cs="Times New Roman"/>
      <w:kern w:val="0"/>
      <w:szCs w:val="20"/>
      <w:lang w:val="en-GB"/>
      <w14:ligatures w14:val="none"/>
    </w:rPr>
  </w:style>
  <w:style w:type="character" w:customStyle="1" w:styleId="ListParagraphChar">
    <w:name w:val="List Paragraph Char"/>
    <w:aliases w:val="DGP Main Text Char"/>
    <w:link w:val="ListParagraph"/>
    <w:uiPriority w:val="34"/>
    <w:rsid w:val="00DF45DE"/>
    <w:rPr>
      <w:rFonts w:cs="Times New Roman"/>
      <w:kern w:val="0"/>
      <w:szCs w:val="20"/>
      <w:lang w:val="en-GB"/>
      <w14:ligatures w14:val="none"/>
    </w:rPr>
  </w:style>
  <w:style w:type="character" w:styleId="Hyperlink">
    <w:name w:val="Hyperlink"/>
    <w:basedOn w:val="DefaultParagraphFont"/>
    <w:uiPriority w:val="99"/>
    <w:unhideWhenUsed/>
    <w:rsid w:val="00205D5D"/>
    <w:rPr>
      <w:color w:val="0563C1" w:themeColor="hyperlink"/>
      <w:u w:val="single"/>
    </w:rPr>
  </w:style>
  <w:style w:type="character" w:styleId="Strong">
    <w:name w:val="Strong"/>
    <w:basedOn w:val="DefaultParagraphFont"/>
    <w:uiPriority w:val="22"/>
    <w:qFormat/>
    <w:rsid w:val="00E777C7"/>
    <w:rPr>
      <w:b/>
      <w:bCs/>
    </w:rPr>
  </w:style>
  <w:style w:type="character" w:styleId="Emphasis">
    <w:name w:val="Emphasis"/>
    <w:uiPriority w:val="20"/>
    <w:qFormat/>
    <w:rsid w:val="00402C42"/>
    <w:rPr>
      <w:i/>
      <w:iCs/>
    </w:rPr>
  </w:style>
  <w:style w:type="character" w:styleId="FollowedHyperlink">
    <w:name w:val="FollowedHyperlink"/>
    <w:basedOn w:val="DefaultParagraphFont"/>
    <w:uiPriority w:val="99"/>
    <w:semiHidden/>
    <w:unhideWhenUsed/>
    <w:rsid w:val="00DF0886"/>
    <w:rPr>
      <w:color w:val="954F72" w:themeColor="followedHyperlink"/>
      <w:u w:val="single"/>
    </w:rPr>
  </w:style>
  <w:style w:type="paragraph" w:styleId="TOCHeading">
    <w:name w:val="TOC Heading"/>
    <w:basedOn w:val="Heading1"/>
    <w:next w:val="Normal"/>
    <w:uiPriority w:val="39"/>
    <w:unhideWhenUsed/>
    <w:qFormat/>
    <w:rsid w:val="00532932"/>
    <w:pPr>
      <w:numPr>
        <w:numId w:val="0"/>
      </w:numPr>
      <w:spacing w:after="0" w:line="259" w:lineRule="auto"/>
      <w:jc w:val="left"/>
      <w:outlineLvl w:val="9"/>
    </w:pPr>
    <w:rPr>
      <w:rFonts w:asciiTheme="majorHAnsi" w:hAnsiTheme="majorHAnsi"/>
      <w:b w:val="0"/>
      <w:bCs w:val="0"/>
      <w:color w:val="2F5496" w:themeColor="accent1" w:themeShade="BF"/>
      <w:sz w:val="32"/>
      <w:lang w:val="en-US"/>
    </w:rPr>
  </w:style>
  <w:style w:type="paragraph" w:styleId="TOC1">
    <w:name w:val="toc 1"/>
    <w:basedOn w:val="Normal"/>
    <w:next w:val="Normal"/>
    <w:autoRedefine/>
    <w:uiPriority w:val="39"/>
    <w:unhideWhenUsed/>
    <w:rsid w:val="00AC54BE"/>
    <w:pPr>
      <w:tabs>
        <w:tab w:val="left" w:pos="720"/>
        <w:tab w:val="right" w:leader="dot" w:pos="9017"/>
      </w:tabs>
      <w:spacing w:after="100"/>
      <w:ind w:left="990" w:hanging="540"/>
    </w:pPr>
    <w:rPr>
      <w:b/>
      <w:noProof/>
      <w:lang w:val="en-US"/>
    </w:rPr>
  </w:style>
  <w:style w:type="paragraph" w:styleId="TOC3">
    <w:name w:val="toc 3"/>
    <w:basedOn w:val="Normal"/>
    <w:next w:val="Normal"/>
    <w:autoRedefine/>
    <w:uiPriority w:val="39"/>
    <w:unhideWhenUsed/>
    <w:rsid w:val="00532932"/>
    <w:pPr>
      <w:spacing w:after="100"/>
      <w:ind w:left="400"/>
    </w:pPr>
  </w:style>
  <w:style w:type="paragraph" w:styleId="TOC2">
    <w:name w:val="toc 2"/>
    <w:basedOn w:val="Normal"/>
    <w:next w:val="Normal"/>
    <w:autoRedefine/>
    <w:uiPriority w:val="39"/>
    <w:unhideWhenUsed/>
    <w:rsid w:val="00AC54BE"/>
    <w:pPr>
      <w:tabs>
        <w:tab w:val="left" w:pos="720"/>
        <w:tab w:val="right" w:leader="dot" w:pos="9017"/>
      </w:tabs>
      <w:spacing w:after="100"/>
      <w:ind w:left="990" w:hanging="540"/>
    </w:pPr>
    <w:rPr>
      <w:b/>
      <w:bCs/>
      <w:noProof/>
    </w:rPr>
  </w:style>
  <w:style w:type="paragraph" w:styleId="Revision">
    <w:name w:val="Revision"/>
    <w:hidden/>
    <w:uiPriority w:val="99"/>
    <w:semiHidden/>
    <w:rsid w:val="00354FAE"/>
    <w:pPr>
      <w:spacing w:before="0" w:after="0" w:line="240" w:lineRule="auto"/>
      <w:jc w:val="left"/>
    </w:pPr>
    <w:rPr>
      <w:rFonts w:cs="Times New Roman"/>
      <w:kern w:val="0"/>
      <w:szCs w:val="20"/>
      <w:lang w:val="en-GB"/>
      <w14:ligatures w14:val="none"/>
    </w:rPr>
  </w:style>
  <w:style w:type="paragraph" w:styleId="EndnoteText">
    <w:name w:val="endnote text"/>
    <w:basedOn w:val="Normal"/>
    <w:link w:val="EndnoteTextChar"/>
    <w:uiPriority w:val="99"/>
    <w:semiHidden/>
    <w:unhideWhenUsed/>
    <w:rsid w:val="00331F91"/>
    <w:pPr>
      <w:spacing w:before="0" w:after="0" w:line="240" w:lineRule="auto"/>
    </w:pPr>
  </w:style>
  <w:style w:type="character" w:customStyle="1" w:styleId="EndnoteTextChar">
    <w:name w:val="Endnote Text Char"/>
    <w:basedOn w:val="DefaultParagraphFont"/>
    <w:link w:val="EndnoteText"/>
    <w:uiPriority w:val="99"/>
    <w:semiHidden/>
    <w:rsid w:val="00331F91"/>
    <w:rPr>
      <w:rFonts w:cs="Times New Roman"/>
      <w:kern w:val="0"/>
      <w:szCs w:val="20"/>
      <w:lang w:val="en-GB"/>
      <w14:ligatures w14:val="none"/>
    </w:rPr>
  </w:style>
  <w:style w:type="character" w:styleId="EndnoteReference">
    <w:name w:val="endnote reference"/>
    <w:basedOn w:val="DefaultParagraphFont"/>
    <w:uiPriority w:val="99"/>
    <w:semiHidden/>
    <w:unhideWhenUsed/>
    <w:rsid w:val="00331F91"/>
    <w:rPr>
      <w:vertAlign w:val="superscript"/>
    </w:rPr>
  </w:style>
  <w:style w:type="character" w:styleId="UnresolvedMention">
    <w:name w:val="Unresolved Mention"/>
    <w:basedOn w:val="DefaultParagraphFont"/>
    <w:uiPriority w:val="99"/>
    <w:semiHidden/>
    <w:unhideWhenUsed/>
    <w:rsid w:val="00C51FCD"/>
    <w:rPr>
      <w:color w:val="605E5C"/>
      <w:shd w:val="clear" w:color="auto" w:fill="E1DFDD"/>
    </w:rPr>
  </w:style>
  <w:style w:type="paragraph" w:customStyle="1" w:styleId="decree">
    <w:name w:val="decree"/>
    <w:basedOn w:val="ListParagraph"/>
    <w:qFormat/>
    <w:rsid w:val="00266173"/>
    <w:pPr>
      <w:widowControl w:val="0"/>
      <w:numPr>
        <w:numId w:val="3"/>
      </w:numPr>
      <w:spacing w:before="240" w:after="240"/>
      <w:contextualSpacing w:val="0"/>
    </w:pPr>
  </w:style>
  <w:style w:type="character" w:customStyle="1" w:styleId="a">
    <w:name w:val="для шаблона привлечения"/>
    <w:uiPriority w:val="1"/>
    <w:rsid w:val="00D22279"/>
    <w:rPr>
      <w:rFonts w:ascii="Times New Roman" w:hAnsi="Times New Roman"/>
      <w:sz w:val="28"/>
    </w:rPr>
  </w:style>
  <w:style w:type="paragraph" w:customStyle="1" w:styleId="Default">
    <w:name w:val="Default"/>
    <w:rsid w:val="00932C51"/>
    <w:pPr>
      <w:autoSpaceDE w:val="0"/>
      <w:autoSpaceDN w:val="0"/>
      <w:adjustRightInd w:val="0"/>
      <w:spacing w:before="0" w:after="0" w:line="240" w:lineRule="auto"/>
      <w:jc w:val="left"/>
    </w:pPr>
    <w:rPr>
      <w:rFonts w:cs="Times New Roman"/>
      <w:color w:val="000000"/>
      <w:kern w:val="0"/>
      <w:sz w:val="24"/>
      <w:szCs w:val="24"/>
      <w:lang w:val="en-IN"/>
    </w:rPr>
  </w:style>
  <w:style w:type="paragraph" w:styleId="NormalWeb">
    <w:name w:val="Normal (Web)"/>
    <w:basedOn w:val="Normal"/>
    <w:uiPriority w:val="99"/>
    <w:semiHidden/>
    <w:unhideWhenUsed/>
    <w:rsid w:val="00DE3DB0"/>
    <w:pPr>
      <w:spacing w:before="100" w:beforeAutospacing="1" w:after="100" w:afterAutospacing="1" w:line="240" w:lineRule="auto"/>
      <w:jc w:val="left"/>
    </w:pPr>
    <w:rPr>
      <w:rFonts w:eastAsia="Times New Roman"/>
      <w:sz w:val="24"/>
      <w:szCs w:val="24"/>
      <w:lang w:val="en-IN" w:eastAsia="en-IN"/>
    </w:rPr>
  </w:style>
  <w:style w:type="paragraph" w:styleId="HTMLPreformatted">
    <w:name w:val="HTML Preformatted"/>
    <w:basedOn w:val="Normal"/>
    <w:link w:val="HTMLPreformattedChar"/>
    <w:uiPriority w:val="99"/>
    <w:semiHidden/>
    <w:unhideWhenUsed/>
    <w:rsid w:val="00FB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semiHidden/>
    <w:rsid w:val="00FB1862"/>
    <w:rPr>
      <w:rFonts w:ascii="Courier New" w:eastAsia="Times New Roman" w:hAnsi="Courier New" w:cs="Courier New"/>
      <w:kern w:val="0"/>
      <w:szCs w:val="20"/>
      <w:lang w:val="en-IN" w:eastAsia="en-IN"/>
      <w14:ligatures w14:val="none"/>
    </w:rPr>
  </w:style>
  <w:style w:type="character" w:styleId="HTMLCode">
    <w:name w:val="HTML Code"/>
    <w:basedOn w:val="DefaultParagraphFont"/>
    <w:uiPriority w:val="99"/>
    <w:semiHidden/>
    <w:unhideWhenUsed/>
    <w:rsid w:val="00FB1862"/>
    <w:rPr>
      <w:rFonts w:ascii="Courier New" w:eastAsia="Times New Roman" w:hAnsi="Courier New" w:cs="Courier New"/>
      <w:sz w:val="20"/>
      <w:szCs w:val="20"/>
    </w:rPr>
  </w:style>
  <w:style w:type="table" w:styleId="TableGrid">
    <w:name w:val="Table Grid"/>
    <w:basedOn w:val="TableNormal"/>
    <w:uiPriority w:val="39"/>
    <w:rsid w:val="0051452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2330">
      <w:bodyDiv w:val="1"/>
      <w:marLeft w:val="0"/>
      <w:marRight w:val="0"/>
      <w:marTop w:val="0"/>
      <w:marBottom w:val="0"/>
      <w:divBdr>
        <w:top w:val="none" w:sz="0" w:space="0" w:color="auto"/>
        <w:left w:val="none" w:sz="0" w:space="0" w:color="auto"/>
        <w:bottom w:val="none" w:sz="0" w:space="0" w:color="auto"/>
        <w:right w:val="none" w:sz="0" w:space="0" w:color="auto"/>
      </w:divBdr>
    </w:div>
    <w:div w:id="802309826">
      <w:bodyDiv w:val="1"/>
      <w:marLeft w:val="0"/>
      <w:marRight w:val="0"/>
      <w:marTop w:val="0"/>
      <w:marBottom w:val="0"/>
      <w:divBdr>
        <w:top w:val="none" w:sz="0" w:space="0" w:color="auto"/>
        <w:left w:val="none" w:sz="0" w:space="0" w:color="auto"/>
        <w:bottom w:val="none" w:sz="0" w:space="0" w:color="auto"/>
        <w:right w:val="none" w:sz="0" w:space="0" w:color="auto"/>
      </w:divBdr>
    </w:div>
    <w:div w:id="837960092">
      <w:bodyDiv w:val="1"/>
      <w:marLeft w:val="0"/>
      <w:marRight w:val="0"/>
      <w:marTop w:val="0"/>
      <w:marBottom w:val="0"/>
      <w:divBdr>
        <w:top w:val="none" w:sz="0" w:space="0" w:color="auto"/>
        <w:left w:val="none" w:sz="0" w:space="0" w:color="auto"/>
        <w:bottom w:val="none" w:sz="0" w:space="0" w:color="auto"/>
        <w:right w:val="none" w:sz="0" w:space="0" w:color="auto"/>
      </w:divBdr>
    </w:div>
    <w:div w:id="901717325">
      <w:bodyDiv w:val="1"/>
      <w:marLeft w:val="0"/>
      <w:marRight w:val="0"/>
      <w:marTop w:val="0"/>
      <w:marBottom w:val="0"/>
      <w:divBdr>
        <w:top w:val="none" w:sz="0" w:space="0" w:color="auto"/>
        <w:left w:val="none" w:sz="0" w:space="0" w:color="auto"/>
        <w:bottom w:val="none" w:sz="0" w:space="0" w:color="auto"/>
        <w:right w:val="none" w:sz="0" w:space="0" w:color="auto"/>
      </w:divBdr>
    </w:div>
    <w:div w:id="938293748">
      <w:bodyDiv w:val="1"/>
      <w:marLeft w:val="0"/>
      <w:marRight w:val="0"/>
      <w:marTop w:val="0"/>
      <w:marBottom w:val="0"/>
      <w:divBdr>
        <w:top w:val="none" w:sz="0" w:space="0" w:color="auto"/>
        <w:left w:val="none" w:sz="0" w:space="0" w:color="auto"/>
        <w:bottom w:val="none" w:sz="0" w:space="0" w:color="auto"/>
        <w:right w:val="none" w:sz="0" w:space="0" w:color="auto"/>
      </w:divBdr>
    </w:div>
    <w:div w:id="1085569445">
      <w:bodyDiv w:val="1"/>
      <w:marLeft w:val="0"/>
      <w:marRight w:val="0"/>
      <w:marTop w:val="0"/>
      <w:marBottom w:val="0"/>
      <w:divBdr>
        <w:top w:val="none" w:sz="0" w:space="0" w:color="auto"/>
        <w:left w:val="none" w:sz="0" w:space="0" w:color="auto"/>
        <w:bottom w:val="none" w:sz="0" w:space="0" w:color="auto"/>
        <w:right w:val="none" w:sz="0" w:space="0" w:color="auto"/>
      </w:divBdr>
    </w:div>
    <w:div w:id="1102607407">
      <w:bodyDiv w:val="1"/>
      <w:marLeft w:val="0"/>
      <w:marRight w:val="0"/>
      <w:marTop w:val="0"/>
      <w:marBottom w:val="0"/>
      <w:divBdr>
        <w:top w:val="none" w:sz="0" w:space="0" w:color="auto"/>
        <w:left w:val="none" w:sz="0" w:space="0" w:color="auto"/>
        <w:bottom w:val="none" w:sz="0" w:space="0" w:color="auto"/>
        <w:right w:val="none" w:sz="0" w:space="0" w:color="auto"/>
      </w:divBdr>
    </w:div>
    <w:div w:id="1771001662">
      <w:bodyDiv w:val="1"/>
      <w:marLeft w:val="0"/>
      <w:marRight w:val="0"/>
      <w:marTop w:val="0"/>
      <w:marBottom w:val="0"/>
      <w:divBdr>
        <w:top w:val="none" w:sz="0" w:space="0" w:color="auto"/>
        <w:left w:val="none" w:sz="0" w:space="0" w:color="auto"/>
        <w:bottom w:val="none" w:sz="0" w:space="0" w:color="auto"/>
        <w:right w:val="none" w:sz="0" w:space="0" w:color="auto"/>
      </w:divBdr>
    </w:div>
    <w:div w:id="1816100092">
      <w:bodyDiv w:val="1"/>
      <w:marLeft w:val="0"/>
      <w:marRight w:val="0"/>
      <w:marTop w:val="0"/>
      <w:marBottom w:val="0"/>
      <w:divBdr>
        <w:top w:val="none" w:sz="0" w:space="0" w:color="auto"/>
        <w:left w:val="none" w:sz="0" w:space="0" w:color="auto"/>
        <w:bottom w:val="none" w:sz="0" w:space="0" w:color="auto"/>
        <w:right w:val="none" w:sz="0" w:space="0" w:color="auto"/>
      </w:divBdr>
    </w:div>
    <w:div w:id="2025548715">
      <w:bodyDiv w:val="1"/>
      <w:marLeft w:val="0"/>
      <w:marRight w:val="0"/>
      <w:marTop w:val="0"/>
      <w:marBottom w:val="0"/>
      <w:divBdr>
        <w:top w:val="none" w:sz="0" w:space="0" w:color="auto"/>
        <w:left w:val="none" w:sz="0" w:space="0" w:color="auto"/>
        <w:bottom w:val="none" w:sz="0" w:space="0" w:color="auto"/>
        <w:right w:val="none" w:sz="0" w:space="0" w:color="auto"/>
      </w:divBdr>
    </w:div>
    <w:div w:id="2103136968">
      <w:bodyDiv w:val="1"/>
      <w:marLeft w:val="0"/>
      <w:marRight w:val="0"/>
      <w:marTop w:val="0"/>
      <w:marBottom w:val="0"/>
      <w:divBdr>
        <w:top w:val="none" w:sz="0" w:space="0" w:color="auto"/>
        <w:left w:val="none" w:sz="0" w:space="0" w:color="auto"/>
        <w:bottom w:val="none" w:sz="0" w:space="0" w:color="auto"/>
        <w:right w:val="none" w:sz="0" w:space="0" w:color="auto"/>
      </w:divBdr>
    </w:div>
    <w:div w:id="210418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8661C-3892-4B5A-8977-BAFFD95BC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5048</Words>
  <Characters>28778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 Arora - Singularity</dc:creator>
  <cp:keywords/>
  <dc:description/>
  <cp:lastModifiedBy>Mihir Govande</cp:lastModifiedBy>
  <cp:revision>3</cp:revision>
  <cp:lastPrinted>2025-09-08T19:39:00Z</cp:lastPrinted>
  <dcterms:created xsi:type="dcterms:W3CDTF">2026-07-06T13:32:00Z</dcterms:created>
  <dcterms:modified xsi:type="dcterms:W3CDTF">2026-07-06T13:32:00Z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5dd7f8b1-dba3-48b9-820b-286179101c9e</vt:lpwstr>
  </property>
</Properties>
</file>