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E79B5" w14:textId="77777A18" w:rsidR="00AC31BA" w:rsidRPr="00BA1EB9" w:rsidRDefault="00D52741" w:rsidP="007B2481">
      <w:pPr>
        <w:jc w:val="center"/>
        <w:rPr>
          <w:rFonts w:cs="Times New Roman"/>
          <w:b/>
          <w:bCs/>
          <w:szCs w:val="24"/>
          <w:u w:val="single"/>
        </w:rPr>
      </w:pPr>
      <w:r>
        <w:rPr>
          <w:rFonts w:cs="Times New Roman"/>
          <w:b/>
          <w:bCs/>
          <w:szCs w:val="24"/>
          <w:u w:val="single"/>
        </w:rPr>
        <w:t>IN THE HIGH COURT OF JUDICATURE AT BOMBAY</w:t>
      </w:r>
      <w:r w:rsidR="00EA0A27">
        <w:rPr>
          <w:rFonts w:cs="Times New Roman"/>
          <w:b/>
          <w:bCs/>
          <w:szCs w:val="24"/>
          <w:u w:val="single"/>
        </w:rPr>
        <w:t>c</w:t>
      </w:r>
    </w:p>
    <w:p w14:paraId="00EFFBC9" w14:textId="77777777" w:rsidR="00AC31BA" w:rsidRPr="00BA1EB9" w:rsidRDefault="00D52741" w:rsidP="007B2481">
      <w:pPr>
        <w:jc w:val="center"/>
        <w:rPr>
          <w:rFonts w:cs="Times New Roman"/>
          <w:b/>
          <w:bCs/>
          <w:szCs w:val="24"/>
          <w:u w:val="single"/>
        </w:rPr>
      </w:pPr>
      <w:r>
        <w:rPr>
          <w:rFonts w:cs="Times New Roman"/>
          <w:b/>
          <w:bCs/>
          <w:szCs w:val="24"/>
          <w:u w:val="single"/>
        </w:rPr>
        <w:t>ORDINARY ORIGINAL CIVIL JURISDICTION</w:t>
      </w:r>
    </w:p>
    <w:p w14:paraId="119AF822" w14:textId="77777777" w:rsidR="00AC31BA" w:rsidRPr="00BA1EB9" w:rsidRDefault="00D52741" w:rsidP="007B2481">
      <w:pPr>
        <w:jc w:val="center"/>
        <w:rPr>
          <w:rFonts w:cs="Times New Roman"/>
          <w:b/>
          <w:bCs/>
          <w:szCs w:val="24"/>
          <w:u w:val="single"/>
        </w:rPr>
      </w:pPr>
      <w:r>
        <w:rPr>
          <w:rFonts w:cs="Times New Roman"/>
          <w:b/>
          <w:bCs/>
          <w:szCs w:val="24"/>
          <w:u w:val="single"/>
        </w:rPr>
        <w:t>IN ITS COMMERCIAL APPELLATE DIVISION</w:t>
      </w:r>
    </w:p>
    <w:p w14:paraId="012DE6FB" w14:textId="77777777" w:rsidR="00AC31BA" w:rsidRPr="00BA1EB9" w:rsidRDefault="00D52741" w:rsidP="007B2481">
      <w:pPr>
        <w:jc w:val="center"/>
        <w:rPr>
          <w:rFonts w:cs="Times New Roman"/>
          <w:b/>
          <w:bCs/>
          <w:szCs w:val="24"/>
          <w:u w:val="single"/>
        </w:rPr>
      </w:pPr>
      <w:r>
        <w:rPr>
          <w:rFonts w:cs="Times New Roman"/>
          <w:b/>
          <w:bCs/>
          <w:szCs w:val="24"/>
          <w:u w:val="single"/>
        </w:rPr>
        <w:t>COMM. APPEAL (L) NO. 20333 OF 2026</w:t>
      </w:r>
    </w:p>
    <w:p w14:paraId="5902D3C2" w14:textId="77777777" w:rsidR="00AC31BA" w:rsidRPr="00BA1EB9" w:rsidRDefault="00D52741" w:rsidP="007B2481">
      <w:pPr>
        <w:jc w:val="center"/>
        <w:rPr>
          <w:rFonts w:cs="Times New Roman"/>
          <w:b/>
          <w:bCs/>
          <w:szCs w:val="24"/>
          <w:u w:val="single"/>
        </w:rPr>
      </w:pPr>
      <w:r>
        <w:rPr>
          <w:rFonts w:cs="Times New Roman"/>
          <w:b/>
          <w:bCs/>
          <w:szCs w:val="24"/>
          <w:u w:val="single"/>
        </w:rPr>
        <w:t>INTERIM APPLICATION NO. 569 OF 2026</w:t>
      </w:r>
    </w:p>
    <w:p w14:paraId="5C828DE2" w14:textId="77777777" w:rsidR="00AC31BA" w:rsidRPr="00BA1EB9" w:rsidRDefault="00D52741" w:rsidP="007B2481">
      <w:pPr>
        <w:jc w:val="center"/>
        <w:rPr>
          <w:rFonts w:cs="Times New Roman"/>
          <w:b/>
          <w:bCs/>
          <w:szCs w:val="24"/>
          <w:u w:val="single"/>
        </w:rPr>
      </w:pPr>
      <w:r>
        <w:rPr>
          <w:rFonts w:cs="Times New Roman"/>
          <w:b/>
          <w:bCs/>
          <w:szCs w:val="24"/>
          <w:u w:val="single"/>
        </w:rPr>
        <w:t>IN</w:t>
      </w:r>
    </w:p>
    <w:p w14:paraId="178A00FA" w14:textId="77777777" w:rsidR="00AC31BA" w:rsidRPr="00BA1EB9" w:rsidRDefault="00D52741" w:rsidP="007B2481">
      <w:pPr>
        <w:ind w:left="360" w:hanging="360"/>
        <w:jc w:val="center"/>
        <w:rPr>
          <w:rFonts w:cs="Times New Roman"/>
          <w:b/>
          <w:bCs/>
          <w:szCs w:val="24"/>
          <w:u w:val="single"/>
        </w:rPr>
      </w:pPr>
      <w:r>
        <w:rPr>
          <w:rFonts w:cs="Times New Roman"/>
          <w:b/>
          <w:bCs/>
          <w:szCs w:val="24"/>
          <w:u w:val="single"/>
        </w:rPr>
        <w:t>COMM. SUIT NO. 6 OF 2026</w:t>
      </w:r>
    </w:p>
    <w:p w14:paraId="2454438D" w14:textId="77777777" w:rsidR="00AC31BA" w:rsidRPr="00BA1EB9" w:rsidRDefault="00AC31BA" w:rsidP="007B2481">
      <w:pPr>
        <w:jc w:val="center"/>
        <w:rPr>
          <w:rFonts w:cs="Times New Roman"/>
          <w:b/>
          <w:bCs/>
          <w:szCs w:val="24"/>
        </w:rPr>
      </w:pPr>
    </w:p>
    <w:p w14:paraId="4FB02BB3" w14:textId="77777777" w:rsidR="00AC31BA" w:rsidRPr="00BA1EB9" w:rsidRDefault="00D52741" w:rsidP="007B2481">
      <w:pPr>
        <w:tabs>
          <w:tab w:val="right" w:pos="9360"/>
        </w:tabs>
        <w:rPr>
          <w:rFonts w:cs="Times New Roman"/>
          <w:szCs w:val="24"/>
        </w:rPr>
      </w:pPr>
      <w:r>
        <w:rPr>
          <w:rFonts w:cs="Times New Roman"/>
          <w:szCs w:val="24"/>
        </w:rPr>
        <w:t>LIMITED LIABILITY COMPANY “EUROCHEM NORTH-WEST-2</w:t>
      </w:r>
      <w:r>
        <w:rPr>
          <w:rFonts w:cs="Times New Roman"/>
          <w:szCs w:val="24"/>
        </w:rPr>
        <w:tab/>
        <w:t>…Appellant</w:t>
      </w:r>
    </w:p>
    <w:p w14:paraId="348943B3" w14:textId="77777777" w:rsidR="00AC31BA" w:rsidRPr="00BA1EB9" w:rsidRDefault="00D52741" w:rsidP="007B2481">
      <w:pPr>
        <w:jc w:val="right"/>
        <w:rPr>
          <w:rFonts w:cs="Times New Roman"/>
          <w:szCs w:val="24"/>
        </w:rPr>
      </w:pPr>
      <w:r>
        <w:rPr>
          <w:rFonts w:cs="Times New Roman"/>
          <w:szCs w:val="24"/>
        </w:rPr>
        <w:t>(Original Plaintiff)</w:t>
      </w:r>
    </w:p>
    <w:p w14:paraId="10F7036C" w14:textId="77777777" w:rsidR="00AC31BA" w:rsidRPr="00BA1EB9" w:rsidRDefault="00D52741" w:rsidP="007B2481">
      <w:pPr>
        <w:rPr>
          <w:rFonts w:cs="Times New Roman"/>
          <w:b/>
          <w:bCs/>
          <w:szCs w:val="24"/>
        </w:rPr>
      </w:pPr>
      <w:r>
        <w:rPr>
          <w:rFonts w:cs="Times New Roman"/>
          <w:b/>
          <w:bCs/>
          <w:szCs w:val="24"/>
          <w:u w:val="single"/>
        </w:rPr>
        <w:t>In the matter of</w:t>
      </w:r>
      <w:r>
        <w:rPr>
          <w:rFonts w:cs="Times New Roman"/>
          <w:b/>
          <w:bCs/>
          <w:szCs w:val="24"/>
        </w:rPr>
        <w:t>:</w:t>
      </w:r>
    </w:p>
    <w:p w14:paraId="6F4AEE18" w14:textId="77777777" w:rsidR="00AC31BA" w:rsidRPr="00BA1EB9" w:rsidRDefault="00D52741" w:rsidP="007B2481">
      <w:pPr>
        <w:tabs>
          <w:tab w:val="right" w:pos="9360"/>
        </w:tabs>
        <w:rPr>
          <w:rFonts w:cs="Times New Roman"/>
          <w:szCs w:val="24"/>
        </w:rPr>
      </w:pPr>
      <w:r>
        <w:rPr>
          <w:rFonts w:cs="Times New Roman"/>
          <w:szCs w:val="24"/>
        </w:rPr>
        <w:t>LIMITED LIABILITY COMPANY “EUROCHEM NORTH-WEST-2”</w:t>
      </w:r>
      <w:r>
        <w:rPr>
          <w:rFonts w:cs="Times New Roman"/>
          <w:szCs w:val="24"/>
        </w:rPr>
        <w:tab/>
        <w:t>…Appellant</w:t>
      </w:r>
    </w:p>
    <w:p w14:paraId="289D00D6" w14:textId="77777777" w:rsidR="00AC31BA" w:rsidRPr="00BA1EB9" w:rsidRDefault="00D52741" w:rsidP="007B2481">
      <w:pPr>
        <w:jc w:val="right"/>
        <w:rPr>
          <w:rFonts w:cs="Times New Roman"/>
          <w:szCs w:val="24"/>
        </w:rPr>
      </w:pPr>
      <w:r>
        <w:rPr>
          <w:rFonts w:cs="Times New Roman"/>
          <w:szCs w:val="24"/>
        </w:rPr>
        <w:t>(Original Plaintiff)</w:t>
      </w:r>
    </w:p>
    <w:p w14:paraId="2A35DDCC" w14:textId="77777777" w:rsidR="00AC31BA" w:rsidRPr="00BA1EB9" w:rsidRDefault="00D52741" w:rsidP="007B2481">
      <w:pPr>
        <w:jc w:val="center"/>
        <w:rPr>
          <w:rFonts w:cs="Times New Roman"/>
          <w:szCs w:val="24"/>
        </w:rPr>
      </w:pPr>
      <w:r>
        <w:rPr>
          <w:rFonts w:cs="Times New Roman"/>
          <w:szCs w:val="24"/>
        </w:rPr>
        <w:t>Versus</w:t>
      </w:r>
    </w:p>
    <w:p w14:paraId="6F8A9C98" w14:textId="77777777" w:rsidR="00AC31BA" w:rsidRPr="00BA1EB9" w:rsidRDefault="00D52741" w:rsidP="007B2481">
      <w:pPr>
        <w:tabs>
          <w:tab w:val="right" w:pos="9360"/>
        </w:tabs>
        <w:rPr>
          <w:rFonts w:cs="Times New Roman"/>
          <w:szCs w:val="24"/>
        </w:rPr>
      </w:pPr>
      <w:r>
        <w:rPr>
          <w:rFonts w:cs="Times New Roman"/>
          <w:szCs w:val="24"/>
        </w:rPr>
        <w:t>TECNIMONT S.P.A (FCRN No.: F02979)</w:t>
      </w:r>
      <w:r>
        <w:rPr>
          <w:rFonts w:cs="Times New Roman"/>
          <w:szCs w:val="24"/>
        </w:rPr>
        <w:tab/>
        <w:t>…Respondent</w:t>
      </w:r>
    </w:p>
    <w:p w14:paraId="33A669FB" w14:textId="77777777" w:rsidR="00AC31BA" w:rsidRPr="00BA1EB9" w:rsidRDefault="00D52741" w:rsidP="007B2481">
      <w:pPr>
        <w:jc w:val="right"/>
        <w:rPr>
          <w:rFonts w:cs="Times New Roman"/>
          <w:szCs w:val="24"/>
        </w:rPr>
      </w:pPr>
      <w:r>
        <w:rPr>
          <w:rFonts w:cs="Times New Roman"/>
          <w:szCs w:val="24"/>
        </w:rPr>
        <w:t>(Original Defendant)</w:t>
      </w:r>
    </w:p>
    <w:p w14:paraId="123C9848" w14:textId="77777777" w:rsidR="00AC31BA" w:rsidRPr="00BA1EB9" w:rsidRDefault="00D52741" w:rsidP="001C5A61">
      <w:pPr>
        <w:spacing w:before="240" w:after="240"/>
        <w:ind w:right="206"/>
        <w:jc w:val="center"/>
        <w:rPr>
          <w:rFonts w:cs="Times New Roman"/>
          <w:b/>
          <w:bCs/>
          <w:szCs w:val="24"/>
          <w:u w:val="single"/>
        </w:rPr>
      </w:pPr>
      <w:r>
        <w:rPr>
          <w:rFonts w:cs="Times New Roman"/>
          <w:b/>
          <w:bCs/>
          <w:szCs w:val="24"/>
          <w:u w:val="single"/>
        </w:rPr>
        <w:t>APPELLANT’S NOTE ON ARGUMENTS ADVANCED</w:t>
      </w:r>
    </w:p>
    <w:sdt>
      <w:sdtPr>
        <w:rPr>
          <w:rFonts w:cs="Arial"/>
          <w:caps w:val="0"/>
          <w:kern w:val="0"/>
          <w:szCs w:val="22"/>
        </w:rPr>
        <w:id w:val="-1165396061"/>
        <w:docPartObj>
          <w:docPartGallery w:val="Table of Contents"/>
          <w:docPartUnique/>
        </w:docPartObj>
      </w:sdtPr>
      <w:sdtContent>
        <w:p w14:paraId="66735D2E" w14:textId="24C6E967" w:rsidR="00535A4C" w:rsidRDefault="00D52741" w:rsidP="007B2481">
          <w:pPr>
            <w:pStyle w:val="TOC1"/>
            <w:spacing w:before="120" w:after="120"/>
            <w:rPr>
              <w:rFonts w:asciiTheme="minorHAnsi" w:eastAsiaTheme="minorEastAsia" w:hAnsiTheme="minorHAnsi" w:cstheme="minorBidi"/>
              <w:caps w:val="0"/>
              <w:noProof/>
              <w:lang w:val="en-IN" w:eastAsia="en-IN"/>
              <w14:ligatures w14:val="standardContextual"/>
            </w:rPr>
          </w:pPr>
          <w:r>
            <w:fldChar w:fldCharType="begin"/>
          </w:r>
          <w:r>
            <w:rPr>
              <w:rStyle w:val="IndexLink"/>
              <w:webHidden/>
            </w:rPr>
            <w:instrText xml:space="preserve"> TOC \z \o "1-1" \u \h</w:instrText>
          </w:r>
          <w:r>
            <w:rPr>
              <w:rStyle w:val="IndexLink"/>
            </w:rPr>
            <w:fldChar w:fldCharType="separate"/>
          </w:r>
          <w:hyperlink w:anchor="_Toc233561952" w:history="1">
            <w:r>
              <w:rPr>
                <w:rStyle w:val="Hyperlink"/>
                <w:caps w:val="0"/>
                <w:noProof/>
              </w:rPr>
              <w:t>I.</w:t>
            </w:r>
            <w:r>
              <w:rPr>
                <w:rFonts w:asciiTheme="minorHAnsi" w:eastAsiaTheme="minorEastAsia" w:hAnsiTheme="minorHAnsi" w:cstheme="minorBidi"/>
                <w:caps w:val="0"/>
                <w:noProof/>
                <w:lang w:val="en-IN" w:eastAsia="en-IN"/>
                <w14:ligatures w14:val="standardContextual"/>
              </w:rPr>
              <w:tab/>
            </w:r>
            <w:r>
              <w:rPr>
                <w:rStyle w:val="Hyperlink"/>
                <w:caps w:val="0"/>
                <w:noProof/>
              </w:rPr>
              <w:t>The Impugned Order proceeds on an erroneous legal standard — The mandatory presumptions under Sections 13 and 14 of the CPC were treated as discretionary</w:t>
            </w:r>
            <w:r>
              <w:rPr>
                <w:caps w:val="0"/>
                <w:noProof/>
                <w:webHidden/>
              </w:rPr>
              <w:tab/>
            </w:r>
            <w:r>
              <w:rPr>
                <w:noProof/>
                <w:webHidden/>
              </w:rPr>
              <w:fldChar w:fldCharType="begin"/>
            </w:r>
            <w:r>
              <w:rPr>
                <w:noProof/>
                <w:webHidden/>
              </w:rPr>
              <w:instrText xml:space="preserve"> PAGEREF _Toc233561952 \h </w:instrText>
            </w:r>
            <w:r>
              <w:rPr>
                <w:noProof/>
                <w:webHidden/>
              </w:rPr>
            </w:r>
            <w:r>
              <w:rPr>
                <w:noProof/>
                <w:webHidden/>
              </w:rPr>
              <w:fldChar w:fldCharType="separate"/>
            </w:r>
            <w:r w:rsidR="00CF348A">
              <w:rPr>
                <w:noProof/>
                <w:webHidden/>
              </w:rPr>
              <w:t>3</w:t>
            </w:r>
            <w:r>
              <w:rPr>
                <w:noProof/>
                <w:webHidden/>
              </w:rPr>
              <w:fldChar w:fldCharType="end"/>
            </w:r>
          </w:hyperlink>
        </w:p>
        <w:p w14:paraId="72CA9303" w14:textId="183D43D0" w:rsidR="00535A4C" w:rsidRDefault="001C5A61" w:rsidP="007B2481">
          <w:pPr>
            <w:pStyle w:val="TOC1"/>
            <w:spacing w:before="120" w:after="120"/>
            <w:rPr>
              <w:rFonts w:asciiTheme="minorHAnsi" w:eastAsiaTheme="minorEastAsia" w:hAnsiTheme="minorHAnsi" w:cstheme="minorBidi"/>
              <w:caps w:val="0"/>
              <w:noProof/>
              <w:lang w:val="en-IN" w:eastAsia="en-IN"/>
              <w14:ligatures w14:val="standardContextual"/>
            </w:rPr>
          </w:pPr>
          <w:hyperlink w:anchor="_Toc233561953" w:history="1">
            <w:r>
              <w:rPr>
                <w:noProof/>
              </w:rPr>
              <w:t>II</w:t>
            </w:r>
            <w:r>
              <w:rPr>
                <w:rStyle w:val="Hyperlink"/>
                <w:caps w:val="0"/>
                <w:noProof/>
              </w:rPr>
              <w:t>.</w:t>
            </w:r>
            <w:r>
              <w:rPr>
                <w:rFonts w:asciiTheme="minorHAnsi" w:eastAsiaTheme="minorEastAsia" w:hAnsiTheme="minorHAnsi" w:cstheme="minorBidi"/>
                <w:caps w:val="0"/>
                <w:noProof/>
                <w:lang w:val="en-IN" w:eastAsia="en-IN"/>
                <w14:ligatures w14:val="standardContextual"/>
              </w:rPr>
              <w:tab/>
            </w:r>
            <w:r>
              <w:rPr>
                <w:rStyle w:val="Hyperlink"/>
                <w:caps w:val="0"/>
                <w:noProof/>
              </w:rPr>
              <w:t>The finding of suppression and non-disclosure is legally and factually unsustainable</w:t>
            </w:r>
            <w:r>
              <w:rPr>
                <w:caps w:val="0"/>
                <w:noProof/>
                <w:webHidden/>
              </w:rPr>
              <w:tab/>
            </w:r>
            <w:r>
              <w:rPr>
                <w:noProof/>
                <w:webHidden/>
              </w:rPr>
              <w:fldChar w:fldCharType="begin"/>
            </w:r>
            <w:r>
              <w:rPr>
                <w:noProof/>
                <w:webHidden/>
              </w:rPr>
              <w:instrText xml:space="preserve"> PAGEREF _Toc233561953 \h </w:instrText>
            </w:r>
            <w:r>
              <w:rPr>
                <w:noProof/>
                <w:webHidden/>
              </w:rPr>
            </w:r>
            <w:r>
              <w:rPr>
                <w:noProof/>
                <w:webHidden/>
              </w:rPr>
              <w:fldChar w:fldCharType="separate"/>
            </w:r>
            <w:r w:rsidR="00CF348A">
              <w:rPr>
                <w:noProof/>
                <w:webHidden/>
              </w:rPr>
              <w:t>17</w:t>
            </w:r>
            <w:r>
              <w:rPr>
                <w:noProof/>
                <w:webHidden/>
              </w:rPr>
              <w:fldChar w:fldCharType="end"/>
            </w:r>
          </w:hyperlink>
        </w:p>
        <w:p w14:paraId="6076CA1B" w14:textId="1DACB247" w:rsidR="00535A4C" w:rsidRDefault="001C5A61" w:rsidP="007B2481">
          <w:pPr>
            <w:pStyle w:val="TOC1"/>
            <w:spacing w:before="120" w:after="120"/>
            <w:rPr>
              <w:rFonts w:asciiTheme="minorHAnsi" w:eastAsiaTheme="minorEastAsia" w:hAnsiTheme="minorHAnsi" w:cstheme="minorBidi"/>
              <w:caps w:val="0"/>
              <w:noProof/>
              <w:lang w:val="en-IN" w:eastAsia="en-IN"/>
              <w14:ligatures w14:val="standardContextual"/>
            </w:rPr>
          </w:pPr>
          <w:hyperlink w:anchor="_Toc233561954" w:history="1">
            <w:r>
              <w:rPr>
                <w:noProof/>
              </w:rPr>
              <w:t>III</w:t>
            </w:r>
            <w:r>
              <w:rPr>
                <w:rStyle w:val="Hyperlink"/>
                <w:caps w:val="0"/>
                <w:noProof/>
              </w:rPr>
              <w:t>.</w:t>
            </w:r>
            <w:r>
              <w:rPr>
                <w:rFonts w:asciiTheme="minorHAnsi" w:eastAsiaTheme="minorEastAsia" w:hAnsiTheme="minorHAnsi" w:cstheme="minorBidi"/>
                <w:caps w:val="0"/>
                <w:noProof/>
                <w:lang w:val="en-IN" w:eastAsia="en-IN"/>
                <w14:ligatures w14:val="standardContextual"/>
              </w:rPr>
              <w:tab/>
            </w:r>
            <w:r>
              <w:rPr>
                <w:rStyle w:val="Hyperlink"/>
                <w:caps w:val="0"/>
                <w:noProof/>
              </w:rPr>
              <w:t>The Impugned Order applied an incorrect threshold on risk of dissipation and failed to consider the material before the Court</w:t>
            </w:r>
            <w:r>
              <w:rPr>
                <w:caps w:val="0"/>
                <w:noProof/>
                <w:webHidden/>
              </w:rPr>
              <w:tab/>
            </w:r>
            <w:r>
              <w:rPr>
                <w:noProof/>
                <w:webHidden/>
              </w:rPr>
              <w:fldChar w:fldCharType="begin"/>
            </w:r>
            <w:r>
              <w:rPr>
                <w:noProof/>
                <w:webHidden/>
              </w:rPr>
              <w:instrText xml:space="preserve"> PAGEREF _Toc233561954 \h </w:instrText>
            </w:r>
            <w:r>
              <w:rPr>
                <w:noProof/>
                <w:webHidden/>
              </w:rPr>
            </w:r>
            <w:r>
              <w:rPr>
                <w:noProof/>
                <w:webHidden/>
              </w:rPr>
              <w:fldChar w:fldCharType="separate"/>
            </w:r>
            <w:r w:rsidR="00CF348A">
              <w:rPr>
                <w:noProof/>
                <w:webHidden/>
              </w:rPr>
              <w:t>20</w:t>
            </w:r>
            <w:r>
              <w:rPr>
                <w:noProof/>
                <w:webHidden/>
              </w:rPr>
              <w:fldChar w:fldCharType="end"/>
            </w:r>
          </w:hyperlink>
        </w:p>
        <w:p w14:paraId="48345CED" w14:textId="05255E9E" w:rsidR="00535A4C" w:rsidRDefault="001C5A61" w:rsidP="007B2481">
          <w:pPr>
            <w:pStyle w:val="TOC1"/>
            <w:spacing w:before="120" w:after="120"/>
            <w:rPr>
              <w:rFonts w:asciiTheme="minorHAnsi" w:eastAsiaTheme="minorEastAsia" w:hAnsiTheme="minorHAnsi" w:cstheme="minorBidi"/>
              <w:caps w:val="0"/>
              <w:noProof/>
              <w:lang w:val="en-IN" w:eastAsia="en-IN"/>
              <w14:ligatures w14:val="standardContextual"/>
            </w:rPr>
          </w:pPr>
          <w:hyperlink w:anchor="_Toc233561955" w:history="1">
            <w:r>
              <w:rPr>
                <w:rStyle w:val="Hyperlink"/>
                <w:caps w:val="0"/>
                <w:noProof/>
              </w:rPr>
              <w:t>IV.</w:t>
            </w:r>
            <w:r>
              <w:rPr>
                <w:rFonts w:asciiTheme="minorHAnsi" w:eastAsiaTheme="minorEastAsia" w:hAnsiTheme="minorHAnsi" w:cstheme="minorBidi"/>
                <w:caps w:val="0"/>
                <w:noProof/>
                <w:lang w:val="en-IN" w:eastAsia="en-IN"/>
                <w14:ligatures w14:val="standardContextual"/>
              </w:rPr>
              <w:tab/>
            </w:r>
            <w:r>
              <w:rPr>
                <w:rStyle w:val="Hyperlink"/>
                <w:caps w:val="0"/>
                <w:noProof/>
              </w:rPr>
              <w:t>Conclusion</w:t>
            </w:r>
            <w:r>
              <w:rPr>
                <w:caps w:val="0"/>
                <w:noProof/>
                <w:webHidden/>
              </w:rPr>
              <w:tab/>
            </w:r>
            <w:r>
              <w:rPr>
                <w:noProof/>
                <w:webHidden/>
              </w:rPr>
              <w:fldChar w:fldCharType="begin"/>
            </w:r>
            <w:r>
              <w:rPr>
                <w:noProof/>
                <w:webHidden/>
              </w:rPr>
              <w:instrText xml:space="preserve"> PAGEREF _Toc233561955 \h </w:instrText>
            </w:r>
            <w:r>
              <w:rPr>
                <w:noProof/>
                <w:webHidden/>
              </w:rPr>
            </w:r>
            <w:r>
              <w:rPr>
                <w:noProof/>
                <w:webHidden/>
              </w:rPr>
              <w:fldChar w:fldCharType="separate"/>
            </w:r>
            <w:r w:rsidR="00CF348A">
              <w:rPr>
                <w:noProof/>
                <w:webHidden/>
              </w:rPr>
              <w:t>22</w:t>
            </w:r>
            <w:r>
              <w:rPr>
                <w:noProof/>
                <w:webHidden/>
              </w:rPr>
              <w:fldChar w:fldCharType="end"/>
            </w:r>
          </w:hyperlink>
        </w:p>
        <w:p w14:paraId="1BDDD840" w14:textId="767D1C4B" w:rsidR="00535A4C" w:rsidRDefault="00172141" w:rsidP="007B2481">
          <w:pPr>
            <w:pStyle w:val="TOC1"/>
            <w:spacing w:before="120" w:after="120"/>
            <w:rPr>
              <w:rFonts w:asciiTheme="minorHAnsi" w:eastAsiaTheme="minorEastAsia" w:hAnsiTheme="minorHAnsi" w:cstheme="minorBidi"/>
              <w:caps w:val="0"/>
              <w:noProof/>
              <w:lang w:val="en-IN" w:eastAsia="en-IN"/>
              <w14:ligatures w14:val="standardContextual"/>
            </w:rPr>
          </w:pPr>
          <w:hyperlink w:anchor="_Toc233561956" w:history="1">
            <w:r>
              <w:rPr>
                <w:rStyle w:val="Hyperlink"/>
                <w:caps w:val="0"/>
                <w:noProof/>
              </w:rPr>
              <w:t>Table of Authorities</w:t>
            </w:r>
            <w:r>
              <w:rPr>
                <w:caps w:val="0"/>
                <w:noProof/>
                <w:webHidden/>
              </w:rPr>
              <w:tab/>
            </w:r>
            <w:r>
              <w:rPr>
                <w:noProof/>
                <w:webHidden/>
              </w:rPr>
              <w:fldChar w:fldCharType="begin"/>
            </w:r>
            <w:r>
              <w:rPr>
                <w:noProof/>
                <w:webHidden/>
              </w:rPr>
              <w:instrText xml:space="preserve"> PAGEREF _Toc233561956 \h </w:instrText>
            </w:r>
            <w:r>
              <w:rPr>
                <w:noProof/>
                <w:webHidden/>
              </w:rPr>
            </w:r>
            <w:r>
              <w:rPr>
                <w:noProof/>
                <w:webHidden/>
              </w:rPr>
              <w:fldChar w:fldCharType="separate"/>
            </w:r>
            <w:r w:rsidR="00CF348A">
              <w:rPr>
                <w:noProof/>
                <w:webHidden/>
              </w:rPr>
              <w:t>24</w:t>
            </w:r>
            <w:r>
              <w:rPr>
                <w:noProof/>
                <w:webHidden/>
              </w:rPr>
              <w:fldChar w:fldCharType="end"/>
            </w:r>
          </w:hyperlink>
        </w:p>
        <w:p w14:paraId="1E2ADEF6" w14:textId="77777777" w:rsidR="002F53A2" w:rsidRDefault="00D52741" w:rsidP="002F53A2">
          <w:pPr>
            <w:pStyle w:val="ListParagraph"/>
            <w:ind w:left="357" w:firstLine="0"/>
            <w:contextualSpacing w:val="0"/>
            <w:rPr>
              <w:rFonts w:cs="Times New Roman"/>
              <w:caps/>
              <w:kern w:val="2"/>
              <w:szCs w:val="24"/>
            </w:rPr>
          </w:pPr>
          <w:r>
            <w:rPr>
              <w:rStyle w:val="IndexLink"/>
              <w:rFonts w:cs="Times New Roman"/>
              <w:kern w:val="2"/>
              <w:szCs w:val="24"/>
              <w:lang w:eastAsia="en-IN"/>
            </w:rPr>
            <w:fldChar w:fldCharType="end"/>
          </w:r>
        </w:p>
      </w:sdtContent>
    </w:sdt>
    <w:bookmarkStart w:id="0" w:name="_Toc233118640" w:displacedByCustomXml="prev"/>
    <w:p w14:paraId="5006985A" w14:textId="77777777" w:rsidR="002F53A2" w:rsidRDefault="002F53A2">
      <w:pPr>
        <w:spacing w:before="0" w:after="0" w:line="240" w:lineRule="auto"/>
        <w:ind w:firstLine="0"/>
        <w:jc w:val="left"/>
      </w:pPr>
      <w:r>
        <w:br w:type="page"/>
      </w:r>
    </w:p>
    <w:p w14:paraId="6EB72985" w14:textId="5004191F" w:rsidR="00064DA1" w:rsidRDefault="00064DA1" w:rsidP="00165F2F">
      <w:pPr>
        <w:pStyle w:val="Heading1"/>
        <w:spacing w:after="240"/>
      </w:pPr>
      <w:r>
        <w:lastRenderedPageBreak/>
        <w:t>INTRODUCTION</w:t>
      </w:r>
    </w:p>
    <w:p w14:paraId="3FBF1275" w14:textId="3E7591BE" w:rsidR="00AC31BA" w:rsidRDefault="00D52741" w:rsidP="00165F2F">
      <w:pPr>
        <w:pStyle w:val="ListParagraph"/>
        <w:numPr>
          <w:ilvl w:val="0"/>
          <w:numId w:val="2"/>
        </w:numPr>
        <w:spacing w:before="240" w:after="240"/>
        <w:ind w:left="357" w:hanging="357"/>
        <w:contextualSpacing w:val="0"/>
      </w:pPr>
      <w:r>
        <w:t>The captioned appeal is filed to challenge the order dated 8 June 2026 (“</w:t>
      </w:r>
      <w:r>
        <w:rPr>
          <w:b/>
          <w:bCs/>
        </w:rPr>
        <w:t>Impugned Order</w:t>
      </w:r>
      <w:r>
        <w:t>”) passed by the Ld. Single Judge dismissing Interim Application No. 569 of 2026 (“</w:t>
      </w:r>
      <w:r>
        <w:rPr>
          <w:b/>
          <w:bCs/>
        </w:rPr>
        <w:t>Application for Interim Relief</w:t>
      </w:r>
      <w:r>
        <w:t>”). The Ld. Single Judge has acted in a way which is contrary to the statutory scheme of Section 13 and 14 of the Code of Civil Procedure, 1908 (“</w:t>
      </w:r>
      <w:r>
        <w:rPr>
          <w:b/>
          <w:bCs/>
        </w:rPr>
        <w:t>CPC</w:t>
      </w:r>
      <w:r>
        <w:t>”).</w:t>
      </w:r>
    </w:p>
    <w:p w14:paraId="6F66EC16" w14:textId="51B52197" w:rsidR="00730528" w:rsidRDefault="00730528" w:rsidP="00165F2F">
      <w:pPr>
        <w:pStyle w:val="ListParagraph"/>
        <w:numPr>
          <w:ilvl w:val="0"/>
          <w:numId w:val="2"/>
        </w:numPr>
        <w:spacing w:before="240" w:after="240"/>
        <w:ind w:left="357" w:hanging="357"/>
        <w:contextualSpacing w:val="0"/>
        <w:rPr>
          <w:rFonts w:cs="Times New Roman"/>
          <w:szCs w:val="24"/>
        </w:rPr>
      </w:pPr>
      <w:r>
        <w:rPr>
          <w:rFonts w:cs="Times New Roman"/>
          <w:szCs w:val="24"/>
        </w:rPr>
        <w:t>The underlying Suit is founded on the judgment dated 5 December 2025 passed by the Moscow Commercial Court (“</w:t>
      </w:r>
      <w:r>
        <w:rPr>
          <w:rFonts w:cs="Times New Roman"/>
          <w:b/>
          <w:bCs/>
          <w:szCs w:val="24"/>
        </w:rPr>
        <w:t>Russian Judgment</w:t>
      </w:r>
      <w:r>
        <w:rPr>
          <w:rFonts w:cs="Times New Roman"/>
          <w:szCs w:val="24"/>
        </w:rPr>
        <w:t>”). By the Russian Judgment, the Respondent and its Russian subsidiary, MT Russia LLC (“</w:t>
      </w:r>
      <w:r>
        <w:rPr>
          <w:rFonts w:cs="Times New Roman"/>
          <w:b/>
          <w:bCs/>
          <w:szCs w:val="24"/>
        </w:rPr>
        <w:t>MTR</w:t>
      </w:r>
      <w:r>
        <w:rPr>
          <w:rFonts w:cs="Times New Roman"/>
          <w:szCs w:val="24"/>
        </w:rPr>
        <w:t>”), were held jointly and severally liable to the Appellant for RUB 171,115,220,555 (</w:t>
      </w:r>
      <w:r>
        <w:rPr>
          <w:rFonts w:cs="Times New Roman"/>
          <w:b/>
          <w:bCs/>
          <w:szCs w:val="24"/>
        </w:rPr>
        <w:t>Russian Judgment</w:t>
      </w:r>
      <w:r>
        <w:rPr>
          <w:rFonts w:cs="Times New Roman"/>
          <w:szCs w:val="24"/>
        </w:rPr>
        <w:t xml:space="preserve"> in Ex. D at p. 2250). </w:t>
      </w:r>
    </w:p>
    <w:p w14:paraId="726DAE32" w14:textId="5605BD40" w:rsidR="00730528" w:rsidRDefault="00730528" w:rsidP="00165F2F">
      <w:pPr>
        <w:pStyle w:val="ListParagraph"/>
        <w:numPr>
          <w:ilvl w:val="0"/>
          <w:numId w:val="2"/>
        </w:numPr>
        <w:spacing w:before="240" w:after="240"/>
        <w:ind w:left="357" w:hanging="357"/>
        <w:contextualSpacing w:val="0"/>
        <w:rPr>
          <w:rFonts w:cs="Times New Roman"/>
          <w:szCs w:val="24"/>
        </w:rPr>
      </w:pPr>
      <w:r>
        <w:rPr>
          <w:rFonts w:cs="Times New Roman"/>
          <w:szCs w:val="24"/>
        </w:rPr>
        <w:t>A central feature of the Russian Judgment is its consideration of Article 248.1 of the Russian Commercial Procedure Code (“</w:t>
      </w:r>
      <w:r>
        <w:rPr>
          <w:rFonts w:cs="Times New Roman"/>
          <w:b/>
          <w:bCs/>
          <w:szCs w:val="24"/>
        </w:rPr>
        <w:t>APC RF</w:t>
      </w:r>
      <w:r>
        <w:rPr>
          <w:rFonts w:cs="Times New Roman"/>
          <w:szCs w:val="24"/>
        </w:rPr>
        <w:t>”). Article 248.1 is part of the Russian procedural law framework concerning disputes involving sanctions and restrictive measures imposed by foreign states (</w:t>
      </w:r>
      <w:r>
        <w:rPr>
          <w:rFonts w:cs="Times New Roman"/>
          <w:b/>
          <w:bCs/>
          <w:szCs w:val="24"/>
        </w:rPr>
        <w:t>Article 248.1 of the APC RF</w:t>
      </w:r>
      <w:r>
        <w:rPr>
          <w:rFonts w:cs="Times New Roman"/>
          <w:szCs w:val="24"/>
        </w:rPr>
        <w:t xml:space="preserve"> in Ex. D at pp. 2439-2440; </w:t>
      </w:r>
      <w:r>
        <w:rPr>
          <w:rFonts w:cs="Times New Roman"/>
          <w:b/>
          <w:bCs/>
          <w:szCs w:val="24"/>
        </w:rPr>
        <w:t>Expert Report of Vladimir Melinikov</w:t>
      </w:r>
      <w:r>
        <w:rPr>
          <w:rFonts w:cs="Times New Roman"/>
          <w:szCs w:val="24"/>
        </w:rPr>
        <w:t xml:space="preserve"> in Ex. D at pp. 2383-2387). In broad terms, it addresses when Russian commercial courts may assume jurisdiction in disputes involving sanctions, restrictive measures, or obstacles to access to justice outside Russia.</w:t>
      </w:r>
    </w:p>
    <w:p w14:paraId="63CCC37B" w14:textId="6883FBCD" w:rsidR="00730528" w:rsidRDefault="00730528" w:rsidP="00165F2F">
      <w:pPr>
        <w:pStyle w:val="ListParagraph"/>
        <w:numPr>
          <w:ilvl w:val="0"/>
          <w:numId w:val="2"/>
        </w:numPr>
        <w:spacing w:before="240" w:after="240"/>
        <w:contextualSpacing w:val="0"/>
        <w:rPr>
          <w:rFonts w:cs="Times New Roman"/>
          <w:szCs w:val="24"/>
        </w:rPr>
      </w:pPr>
      <w:r>
        <w:rPr>
          <w:rFonts w:cs="Times New Roman"/>
          <w:szCs w:val="24"/>
        </w:rPr>
        <w:t>For context, Article 248.1 was issued to ensure a uniform approach by Russian commercial courts to disputes relating to legislation on special economic measures enacted to protect Russian national interests. Where an economic dispute arises in connection with restrictive measures imposed by a foreign state, or where one party faces obstacles to access to justice, such dispute may fall within the jurisdiction of Russian commercial courts, including where the contract contains an arbitration clause (</w:t>
      </w:r>
      <w:r>
        <w:rPr>
          <w:rFonts w:cs="Times New Roman"/>
          <w:b/>
          <w:bCs/>
          <w:szCs w:val="24"/>
        </w:rPr>
        <w:t>Supreme Court of the Russian Federation, Thematic Review No. 8/2026</w:t>
      </w:r>
      <w:r>
        <w:rPr>
          <w:rFonts w:cs="Times New Roman"/>
          <w:szCs w:val="24"/>
        </w:rPr>
        <w:t xml:space="preserve"> at pp. 32-34).</w:t>
      </w:r>
    </w:p>
    <w:p w14:paraId="64DB43DE" w14:textId="58006994" w:rsidR="00165F2F" w:rsidRDefault="00165F2F" w:rsidP="00165F2F">
      <w:pPr>
        <w:pStyle w:val="ListParagraph"/>
        <w:numPr>
          <w:ilvl w:val="0"/>
          <w:numId w:val="2"/>
        </w:numPr>
        <w:spacing w:before="240" w:after="240"/>
        <w:contextualSpacing w:val="0"/>
        <w:rPr>
          <w:rFonts w:cs="Times New Roman"/>
          <w:szCs w:val="24"/>
        </w:rPr>
      </w:pPr>
      <w:r>
        <w:rPr>
          <w:rFonts w:cs="Times New Roman"/>
          <w:szCs w:val="24"/>
        </w:rPr>
        <w:t>Pertinently, in the Russian Judgment, the Moscow Commercial Court held that it had jurisdiction under Article 248.1 because the basis of the dispute was the sanctions imposed by the European Union, and the circumstances showed obvious obstacles to the Appellant accessing justice in the UK.</w:t>
      </w:r>
    </w:p>
    <w:p w14:paraId="0641BB47" w14:textId="500B22EC" w:rsidR="00165F2F" w:rsidRPr="00165F2F" w:rsidRDefault="00165F2F" w:rsidP="00165F2F">
      <w:pPr>
        <w:pStyle w:val="ListParagraph"/>
        <w:numPr>
          <w:ilvl w:val="0"/>
          <w:numId w:val="2"/>
        </w:numPr>
        <w:spacing w:before="240" w:after="240"/>
        <w:ind w:left="357" w:hanging="357"/>
        <w:contextualSpacing w:val="0"/>
        <w:rPr>
          <w:rFonts w:cs="Times New Roman"/>
          <w:szCs w:val="24"/>
        </w:rPr>
      </w:pPr>
      <w:r>
        <w:rPr>
          <w:rFonts w:cs="Times New Roman"/>
          <w:szCs w:val="24"/>
        </w:rPr>
        <w:lastRenderedPageBreak/>
        <w:t>On 2 March 2026, the Ninth Arbitration Appellate Court affirmed the Russian Judgment and dismissed the Respondent’s appeal (“</w:t>
      </w:r>
      <w:r>
        <w:rPr>
          <w:rFonts w:cs="Times New Roman"/>
          <w:b/>
          <w:bCs/>
          <w:szCs w:val="24"/>
        </w:rPr>
        <w:t>Russian Appellate Judgment</w:t>
      </w:r>
      <w:r>
        <w:rPr>
          <w:rFonts w:cs="Times New Roman"/>
          <w:szCs w:val="24"/>
        </w:rPr>
        <w:t xml:space="preserve">”) (Ex. G at p. 2801). The Russian Appellate Judgment expressly affirmed the Moscow Commercial Court’s findings under Article 248.1, including the finding that the Appellant faced obvious barriers to objective and fair justice in the UK. The Russian Appellate Judgment also dealt with the Respondent’s procedural objections to the Russian proceedings on the basis of natural justice. </w:t>
      </w:r>
    </w:p>
    <w:p w14:paraId="3F977F08" w14:textId="2CF1DA78" w:rsidR="00165F2F" w:rsidRDefault="00165F2F" w:rsidP="00165F2F">
      <w:pPr>
        <w:pStyle w:val="ListParagraph"/>
        <w:numPr>
          <w:ilvl w:val="0"/>
          <w:numId w:val="2"/>
        </w:numPr>
        <w:spacing w:before="240" w:after="240"/>
        <w:ind w:left="357" w:hanging="357"/>
        <w:contextualSpacing w:val="0"/>
        <w:rPr>
          <w:rFonts w:cs="Times New Roman"/>
          <w:szCs w:val="24"/>
        </w:rPr>
      </w:pPr>
      <w:r>
        <w:rPr>
          <w:rFonts w:cs="Times New Roman"/>
          <w:szCs w:val="24"/>
        </w:rPr>
        <w:t>It is against this background that the Appellant filed the captioned Suit and the Application for Interim Relief seeking preservation of the Respondent’s Indian assets pending adjudication of the Suit on the Russian Judgment.</w:t>
      </w:r>
    </w:p>
    <w:p w14:paraId="4D4003E9" w14:textId="68F2A628" w:rsidR="00BF3F52" w:rsidRDefault="00D52741" w:rsidP="00165F2F">
      <w:pPr>
        <w:pStyle w:val="ListParagraph"/>
        <w:numPr>
          <w:ilvl w:val="0"/>
          <w:numId w:val="2"/>
        </w:numPr>
        <w:spacing w:before="240" w:after="240"/>
        <w:ind w:left="357" w:hanging="357"/>
        <w:contextualSpacing w:val="0"/>
        <w:rPr>
          <w:rFonts w:cs="Times New Roman"/>
          <w:szCs w:val="24"/>
        </w:rPr>
      </w:pPr>
      <w:r>
        <w:rPr>
          <w:rFonts w:cs="Times New Roman"/>
          <w:szCs w:val="24"/>
        </w:rPr>
        <w:t xml:space="preserve">The </w:t>
      </w:r>
      <w:r>
        <w:t>Application for Interim Relief</w:t>
      </w:r>
      <w:r>
        <w:rPr>
          <w:rFonts w:cs="Times New Roman"/>
          <w:szCs w:val="24"/>
        </w:rPr>
        <w:t xml:space="preserve"> was one for an interim injunction under Order 39 Rule 1(b) of the CPC. At that stage, the Ld. Single Judge was only required to examine whether a </w:t>
      </w:r>
      <w:r>
        <w:rPr>
          <w:rFonts w:cs="Times New Roman"/>
          <w:i/>
          <w:iCs/>
          <w:szCs w:val="24"/>
        </w:rPr>
        <w:t>prima facie</w:t>
      </w:r>
      <w:r>
        <w:rPr>
          <w:rFonts w:cs="Times New Roman"/>
          <w:szCs w:val="24"/>
        </w:rPr>
        <w:t xml:space="preserve"> case existed as to: (a) the existence of the judgment debt under the Russian Judgment, which would also be regarded as a debt in India; and (b) the Respondent’s intention to remove or dispose of its property with a view to defrauding its creditors. Both conditions were satisfied, and the Impugned Order errs by holding otherwise. The Impugned Order is liable to be set aside on the following three grounds.</w:t>
      </w:r>
    </w:p>
    <w:p w14:paraId="39F47D01" w14:textId="2D718648" w:rsidR="00A61098" w:rsidRDefault="00031C5F" w:rsidP="00165F2F">
      <w:pPr>
        <w:pStyle w:val="Heading1"/>
        <w:spacing w:after="240"/>
        <w:rPr>
          <w:rFonts w:cs="Times New Roman"/>
          <w:szCs w:val="24"/>
        </w:rPr>
      </w:pPr>
      <w:bookmarkStart w:id="1" w:name="_Toc233561952"/>
      <w:bookmarkStart w:id="2" w:name="_Toc233227847"/>
      <w:bookmarkStart w:id="3" w:name="_Toc233108398"/>
      <w:bookmarkStart w:id="4" w:name="_Toc233118642"/>
      <w:bookmarkEnd w:id="0"/>
      <w:r>
        <w:rPr>
          <w:rFonts w:cs="Times New Roman"/>
          <w:szCs w:val="24"/>
        </w:rPr>
        <w:t>THE IMPUGNED ORDER PROCEEDS ON AN ERRONEOUS LEGAL STANDARD — THE MANDATORY PRESUMPTIONS UNDER SECTIONS 13 AND 14 of the CPC WERE TREATED AS DISCRETIONARY</w:t>
      </w:r>
      <w:bookmarkEnd w:id="1"/>
      <w:r>
        <w:rPr>
          <w:rFonts w:cs="Times New Roman"/>
          <w:szCs w:val="24"/>
        </w:rPr>
        <w:t xml:space="preserve"> </w:t>
      </w:r>
    </w:p>
    <w:p w14:paraId="54B1987B" w14:textId="6D2B13E2" w:rsidR="0007480C" w:rsidRDefault="00CF2031" w:rsidP="00165F2F">
      <w:pPr>
        <w:pStyle w:val="Heading2"/>
        <w:spacing w:after="240"/>
      </w:pPr>
      <w:r>
        <w:t>Sections 13 and 14 of the CPC create a statutory evidentiary basis at the interim stage; mere objections do not suspend that presumption</w:t>
      </w:r>
    </w:p>
    <w:p w14:paraId="003FF5D5" w14:textId="4B7AB114" w:rsidR="002A50F8" w:rsidRDefault="002A50F8" w:rsidP="00165F2F">
      <w:pPr>
        <w:pStyle w:val="ListParagraph"/>
        <w:numPr>
          <w:ilvl w:val="0"/>
          <w:numId w:val="2"/>
        </w:numPr>
        <w:spacing w:before="240" w:after="240"/>
        <w:ind w:left="357"/>
        <w:contextualSpacing w:val="0"/>
      </w:pPr>
      <w:r>
        <w:t xml:space="preserve">The principal error in the Impugned Order is one of legal approach. The Ld. Single Judge treated the mere raising of objections by the Respondent as sufficient to permit the Court, at the interim / pre-trial stage (on a </w:t>
      </w:r>
      <w:r>
        <w:rPr>
          <w:i/>
          <w:iCs/>
        </w:rPr>
        <w:t>prima facie</w:t>
      </w:r>
      <w:r>
        <w:t xml:space="preserve"> basis), to decline to apply the statutory presumption under Sections 13 and 14 of the CPC. </w:t>
      </w:r>
    </w:p>
    <w:p w14:paraId="30C69F08" w14:textId="58A96A45" w:rsidR="002A50F8" w:rsidRDefault="002A50F8" w:rsidP="00165F2F">
      <w:pPr>
        <w:pStyle w:val="ListParagraph"/>
        <w:numPr>
          <w:ilvl w:val="0"/>
          <w:numId w:val="2"/>
        </w:numPr>
        <w:spacing w:before="240" w:after="240"/>
        <w:ind w:left="357"/>
        <w:contextualSpacing w:val="0"/>
      </w:pPr>
      <w:r>
        <w:t>At paragraphs 11 and 12 of the Impugned Order, the Ld. Single Judge articulated the following test:</w:t>
      </w:r>
    </w:p>
    <w:p w14:paraId="4ECFC7A7" w14:textId="77777777" w:rsidR="002A50F8" w:rsidRPr="0007480C" w:rsidRDefault="002A50F8" w:rsidP="00165F2F">
      <w:pPr>
        <w:pStyle w:val="Caption"/>
      </w:pPr>
      <w:r>
        <w:lastRenderedPageBreak/>
        <w:t>“…[W]here a defendant objects to the conclusiveness of the foreign judgment or the presumption of competent jurisdiction of the foreign court, the Indian court, at a pre-trial stage, will have to examine whether, prima facie, there is substance in the objection…”</w:t>
      </w:r>
    </w:p>
    <w:p w14:paraId="142B406A" w14:textId="0912BF85" w:rsidR="002A50F8" w:rsidRDefault="002A50F8" w:rsidP="00165F2F">
      <w:pPr>
        <w:pStyle w:val="ListParagraph"/>
        <w:numPr>
          <w:ilvl w:val="0"/>
          <w:numId w:val="2"/>
        </w:numPr>
        <w:spacing w:before="240" w:after="240"/>
        <w:ind w:left="357"/>
        <w:contextualSpacing w:val="0"/>
      </w:pPr>
      <w:r>
        <w:t>And at paragraph 34:</w:t>
      </w:r>
    </w:p>
    <w:p w14:paraId="5A52E7D1" w14:textId="0A21C4E2" w:rsidR="002A50F8" w:rsidRPr="003605C8" w:rsidRDefault="003B4766" w:rsidP="00165F2F">
      <w:pPr>
        <w:pStyle w:val="Caption"/>
        <w:rPr>
          <w:i w:val="0"/>
          <w:iCs w:val="0"/>
        </w:rPr>
      </w:pPr>
      <w:r>
        <w:t>“…[I]f</w:t>
      </w:r>
      <w:r>
        <w:rPr>
          <w:u w:val="single"/>
        </w:rPr>
        <w:t xml:space="preserve"> objections are raised to its conclusiveness and to the facts of the case, the Indian court may find that the foreign judgment cannot be accepted as conclusive evidence at the pre-trial stage</w:t>
      </w:r>
      <w:r>
        <w:t xml:space="preserve">; a discretionary relief of an injunction cannot be granted. </w:t>
      </w:r>
      <w:r>
        <w:rPr>
          <w:u w:val="single"/>
        </w:rPr>
        <w:t>Unless the Indian court is prima facie satisfied that none of the exceptions under clauses (a) to (f) of Section 13 apply</w:t>
      </w:r>
      <w:r>
        <w:t xml:space="preserve"> and that the record prima facie shows that the foreign court was competent to decide the issue, and there is no other evidence in support of the money claim, there would be no question of granting a discretionary relief of injunction.”</w:t>
      </w:r>
      <w:r>
        <w:rPr>
          <w:i w:val="0"/>
          <w:iCs w:val="0"/>
        </w:rPr>
        <w:t xml:space="preserve"> (emphasis supplied)</w:t>
      </w:r>
    </w:p>
    <w:p w14:paraId="39941771" w14:textId="51052851" w:rsidR="002A50F8" w:rsidRDefault="002A50F8" w:rsidP="00165F2F">
      <w:pPr>
        <w:pStyle w:val="ListParagraph"/>
        <w:numPr>
          <w:ilvl w:val="0"/>
          <w:numId w:val="2"/>
        </w:numPr>
        <w:spacing w:before="240" w:after="240"/>
        <w:ind w:left="357"/>
        <w:contextualSpacing w:val="0"/>
      </w:pPr>
      <w:r>
        <w:t>With respect, this test is erroneous in law in at least three distinct respects — it inverts the burden of proof, it treats submissions as evidence, and it converts statutory conclusiveness and a mandatory statutory presumption into a discretionary enquiry at the very stage at which they are intended to operate.</w:t>
      </w:r>
    </w:p>
    <w:p w14:paraId="7982FE79" w14:textId="4253F227" w:rsidR="00303D89" w:rsidRDefault="00303D89" w:rsidP="00165F2F">
      <w:pPr>
        <w:pStyle w:val="ListParagraph"/>
        <w:numPr>
          <w:ilvl w:val="0"/>
          <w:numId w:val="2"/>
        </w:numPr>
        <w:spacing w:before="240" w:after="240"/>
        <w:ind w:left="357"/>
        <w:contextualSpacing w:val="0"/>
      </w:pPr>
      <w:r>
        <w:t>Section 13 of the CPC provides that a foreign judgment “</w:t>
      </w:r>
      <w:r>
        <w:rPr>
          <w:i/>
          <w:iCs/>
        </w:rPr>
        <w:t>shall be conclusive</w:t>
      </w:r>
      <w:r>
        <w:t xml:space="preserve">” as to any matter thereby directly adjudicated upon between the parties, </w:t>
      </w:r>
      <w:r>
        <w:rPr>
          <w:u w:val="single"/>
        </w:rPr>
        <w:t>subject only</w:t>
      </w:r>
      <w:r>
        <w:t xml:space="preserve"> to the exceptions in clauses (a) to (f). This is statutory conclusiveness. It is equivalent in effect to “conclusive proof” under Section 2(1)(b) of the Bharatiya Sakshya Adhiniyam, 2023 (“</w:t>
      </w:r>
      <w:r>
        <w:rPr>
          <w:b/>
          <w:bCs/>
        </w:rPr>
        <w:t>BSA</w:t>
      </w:r>
      <w:r>
        <w:t>”), which provides that when one fact is declared to be conclusive proof of another, “</w:t>
      </w:r>
      <w:r>
        <w:rPr>
          <w:i/>
          <w:iCs/>
        </w:rPr>
        <w:t>the Court shall, on proof of the one fact, regard the other as proved, and shall not allow evidence to be given for the purpose of disproving it.</w:t>
      </w:r>
      <w:r>
        <w:t xml:space="preserve">” Section 13 of the CPC incorporates its own statutory exceptions in clauses (a) to (f). Therefore, the foreign judgment is conclusive unless the resisting party brings itself within those exceptions. </w:t>
      </w:r>
    </w:p>
    <w:p w14:paraId="4540AA9B" w14:textId="1FD25FC2" w:rsidR="00BB31E7" w:rsidRDefault="00BB31E7" w:rsidP="00165F2F">
      <w:pPr>
        <w:pStyle w:val="ListParagraph"/>
        <w:numPr>
          <w:ilvl w:val="0"/>
          <w:numId w:val="2"/>
        </w:numPr>
        <w:spacing w:before="240" w:after="240"/>
        <w:contextualSpacing w:val="0"/>
      </w:pPr>
      <w:r>
        <w:t>Section 14 of the CPC separately provides:</w:t>
      </w:r>
    </w:p>
    <w:p w14:paraId="67D4435B" w14:textId="5DFF0A12" w:rsidR="00BB31E7" w:rsidRPr="003605C8" w:rsidRDefault="00BB31E7" w:rsidP="00165F2F">
      <w:pPr>
        <w:pStyle w:val="Caption"/>
        <w:rPr>
          <w:i w:val="0"/>
          <w:iCs w:val="0"/>
        </w:rPr>
      </w:pPr>
      <w:r>
        <w:t xml:space="preserve">“The Court </w:t>
      </w:r>
      <w:r>
        <w:rPr>
          <w:u w:val="single"/>
        </w:rPr>
        <w:t>shall presume</w:t>
      </w:r>
      <w:r>
        <w:t xml:space="preserve"> upon the production of any document purporting to be a certified copy of a foreign judgment, that such judgment was pronounced by a Court of competent jurisdiction, </w:t>
      </w:r>
      <w:r>
        <w:rPr>
          <w:u w:val="single"/>
        </w:rPr>
        <w:t>unless the contrary appears on the record</w:t>
      </w:r>
      <w:r>
        <w:t xml:space="preserve">; but such </w:t>
      </w:r>
      <w:r>
        <w:lastRenderedPageBreak/>
        <w:t xml:space="preserve">presumption may be displaced by proving want of jurisdiction.” </w:t>
      </w:r>
      <w:r>
        <w:rPr>
          <w:i w:val="0"/>
          <w:iCs w:val="0"/>
        </w:rPr>
        <w:t>(emphasis supplied).</w:t>
      </w:r>
    </w:p>
    <w:p w14:paraId="6FD73BCF" w14:textId="14F9B98F" w:rsidR="006B0ACD" w:rsidRDefault="00773F84" w:rsidP="00165F2F">
      <w:pPr>
        <w:pStyle w:val="ListParagraph"/>
        <w:numPr>
          <w:ilvl w:val="0"/>
          <w:numId w:val="2"/>
        </w:numPr>
        <w:spacing w:before="240" w:after="240"/>
        <w:contextualSpacing w:val="0"/>
      </w:pPr>
      <w:r>
        <w:t>The expression “</w:t>
      </w:r>
      <w:r>
        <w:rPr>
          <w:bCs/>
        </w:rPr>
        <w:t>shall presume</w:t>
      </w:r>
      <w:r>
        <w:t>” in Section 14 is a mandatory direction to the Court. It is the statutory equivalent of “</w:t>
      </w:r>
      <w:r>
        <w:rPr>
          <w:i/>
          <w:iCs/>
        </w:rPr>
        <w:t>shall presume</w:t>
      </w:r>
      <w:r>
        <w:t>” under Section 2(1)(l) of the BSA, which provides that whenever the Court is directed to presume a fact, “</w:t>
      </w:r>
      <w:r>
        <w:rPr>
          <w:i/>
          <w:iCs/>
        </w:rPr>
        <w:t>it shall regard such fact as proved, unless and until it is disproved</w:t>
      </w:r>
      <w:r>
        <w:t>”: once the foundational fact exists, the Court must draw the presumption. It has no discretion to decline to draw it merely because the defendant raises an objection. The only distinction is between “shall presume”, which is mandatory and rebuttable, and “may presume”, which is discretionary and rebuttable. The legislature chose the former in Section 14.</w:t>
      </w:r>
    </w:p>
    <w:p w14:paraId="7B0FC0E1" w14:textId="77777777" w:rsidR="0028419D" w:rsidRDefault="00A3011D" w:rsidP="00165F2F">
      <w:pPr>
        <w:pStyle w:val="ListParagraph"/>
        <w:numPr>
          <w:ilvl w:val="0"/>
          <w:numId w:val="2"/>
        </w:numPr>
        <w:spacing w:before="240" w:after="240"/>
        <w:contextualSpacing w:val="0"/>
      </w:pPr>
      <w:r>
        <w:t>These provisions are not merely rules for final trial; they create the statutory evidentiary basis on which the Appellant’s claim rests at the interim stage.</w:t>
      </w:r>
    </w:p>
    <w:p w14:paraId="31D85827" w14:textId="3B8456F8" w:rsidR="005D268D" w:rsidRDefault="005D268D" w:rsidP="00165F2F">
      <w:pPr>
        <w:pStyle w:val="ListParagraph"/>
        <w:numPr>
          <w:ilvl w:val="0"/>
          <w:numId w:val="2"/>
        </w:numPr>
        <w:spacing w:before="240" w:after="240"/>
        <w:contextualSpacing w:val="0"/>
      </w:pPr>
      <w:r>
        <w:t>The statutory scheme operates in three steps.</w:t>
      </w:r>
    </w:p>
    <w:p w14:paraId="2B60E6B7" w14:textId="54523954" w:rsidR="00FE32C4" w:rsidRDefault="00FE32C4" w:rsidP="00165F2F">
      <w:pPr>
        <w:pStyle w:val="ListParagraph"/>
        <w:numPr>
          <w:ilvl w:val="0"/>
          <w:numId w:val="2"/>
        </w:numPr>
        <w:spacing w:before="240" w:after="240"/>
        <w:contextualSpacing w:val="0"/>
      </w:pPr>
      <w:r>
        <w:rPr>
          <w:b/>
          <w:bCs/>
        </w:rPr>
        <w:t>First</w:t>
      </w:r>
      <w:r>
        <w:t xml:space="preserve">, Section 13 of the CPC gives the foreign judgment statutory conclusiveness and shifts the burden to the Respondent. The judgment creditor’s burden is to produce the foreign judgment. </w:t>
      </w:r>
      <w:r>
        <w:rPr>
          <w:rFonts w:cs="Times New Roman"/>
          <w:szCs w:val="24"/>
        </w:rPr>
        <w:t>When the law declares certain evidence to be conclusive, the Court must treat the fact declared as proved once such evidence is adduced; it is only the specific statutory exceptions which remain open to be established by the resisting party (</w:t>
      </w:r>
      <w:r>
        <w:rPr>
          <w:rFonts w:cs="Times New Roman"/>
          <w:b/>
          <w:bCs/>
          <w:i/>
          <w:iCs/>
          <w:szCs w:val="24"/>
        </w:rPr>
        <w:t>Neeraj Dutta v State (NCT of Delhi)</w:t>
      </w:r>
      <w:r>
        <w:rPr>
          <w:rFonts w:cs="Times New Roman"/>
          <w:szCs w:val="24"/>
        </w:rPr>
        <w:t>, (2023) 4 SCC 731 (SC) (5 Judge Bench) at [70]).</w:t>
      </w:r>
      <w:r>
        <w:t xml:space="preserve"> Therefore, once the Appellant produces the Russian Judgment, the debt and liability adjudicated therein stand concluded for the purposes of the Appellant’s </w:t>
      </w:r>
      <w:r>
        <w:rPr>
          <w:i/>
          <w:iCs/>
        </w:rPr>
        <w:t>prima facie</w:t>
      </w:r>
      <w:r>
        <w:t xml:space="preserve"> case. The burden then shifts to the Respondent to bring the case within one or more of the exceptions in Section 13(a) to (f).</w:t>
      </w:r>
    </w:p>
    <w:p w14:paraId="58FB678B" w14:textId="5E9CAB20" w:rsidR="00FE32C4" w:rsidRDefault="000E00AA" w:rsidP="00165F2F">
      <w:pPr>
        <w:pStyle w:val="ListParagraph"/>
        <w:numPr>
          <w:ilvl w:val="0"/>
          <w:numId w:val="2"/>
        </w:numPr>
        <w:spacing w:before="240" w:after="240"/>
        <w:contextualSpacing w:val="0"/>
      </w:pPr>
      <w:r>
        <w:t>This is precisely how Section 13 has been understood by the Supreme Court. It has held that Indian courts, while considering conclusiveness, “</w:t>
      </w:r>
      <w:r>
        <w:rPr>
          <w:i/>
          <w:iCs/>
        </w:rPr>
        <w:t>will not inquire whether conclusions recorded thereby are supported by the evidence, or are otherwise correct</w:t>
      </w:r>
      <w:r>
        <w:t xml:space="preserve">”. The binding character of the foreign judgment can be displaced </w:t>
      </w:r>
      <w:r>
        <w:rPr>
          <w:u w:val="single"/>
        </w:rPr>
        <w:t>only</w:t>
      </w:r>
      <w:r>
        <w:t xml:space="preserve"> by establishing one of the six exceptions under Section 13, and not otherwise (</w:t>
      </w:r>
      <w:r>
        <w:rPr>
          <w:rFonts w:cs="Times New Roman"/>
          <w:b/>
          <w:bCs/>
          <w:i/>
          <w:iCs/>
          <w:szCs w:val="24"/>
        </w:rPr>
        <w:t>R. Viswanathan v Rukn-ul-Mulk Syed Abdul Wajid</w:t>
      </w:r>
      <w:r>
        <w:rPr>
          <w:rFonts w:cs="Times New Roman"/>
          <w:szCs w:val="24"/>
        </w:rPr>
        <w:t xml:space="preserve">, AIR 1963 SC 1 (SC) (3 Judge Bench) at [14]–[16], [28], [30], [32], and [35]; </w:t>
      </w:r>
      <w:r>
        <w:rPr>
          <w:rFonts w:cs="Times New Roman"/>
          <w:b/>
          <w:bCs/>
          <w:i/>
          <w:iCs/>
          <w:szCs w:val="24"/>
        </w:rPr>
        <w:t>Alcon Electronics Pvt. Ltd. v Celem S.A.</w:t>
      </w:r>
      <w:r>
        <w:rPr>
          <w:rFonts w:cs="Times New Roman"/>
          <w:szCs w:val="24"/>
        </w:rPr>
        <w:t>, (2017) 2 SCC 253 (SC) (DB) at [15]</w:t>
      </w:r>
      <w:r>
        <w:t xml:space="preserve">). </w:t>
      </w:r>
    </w:p>
    <w:p w14:paraId="35034500" w14:textId="22281E86" w:rsidR="00764040" w:rsidRDefault="00764040" w:rsidP="00165F2F">
      <w:pPr>
        <w:pStyle w:val="ListParagraph"/>
        <w:numPr>
          <w:ilvl w:val="0"/>
          <w:numId w:val="2"/>
        </w:numPr>
        <w:spacing w:before="240" w:after="240"/>
        <w:contextualSpacing w:val="0"/>
      </w:pPr>
      <w:r>
        <w:lastRenderedPageBreak/>
        <w:t>The Bombay High Court has applied the same principle. This Court held that “</w:t>
      </w:r>
      <w:r>
        <w:rPr>
          <w:i/>
          <w:iCs/>
        </w:rPr>
        <w:t>by default, the Foreign Judgment will have to be considered as conclusive</w:t>
      </w:r>
      <w:r>
        <w:t xml:space="preserve">” and that the onus is on the defendant to prove that the foreign judgment falls within any of the six exceptions. The Court further rejected bald averments in the written statement where the defendant had led no evidence to bring the judgment within those exceptions </w:t>
      </w:r>
      <w:r>
        <w:rPr>
          <w:rFonts w:cs="Times New Roman"/>
          <w:szCs w:val="24"/>
        </w:rPr>
        <w:t>(</w:t>
      </w:r>
      <w:r>
        <w:rPr>
          <w:rFonts w:cs="Times New Roman"/>
          <w:b/>
          <w:bCs/>
          <w:i/>
          <w:iCs/>
          <w:szCs w:val="24"/>
        </w:rPr>
        <w:t>Dan Bunkering v PFS Shipping</w:t>
      </w:r>
      <w:r>
        <w:rPr>
          <w:rFonts w:cs="Times New Roman"/>
          <w:szCs w:val="24"/>
        </w:rPr>
        <w:t xml:space="preserve">, (2018) 5 AIR Bom R 116 (BHC) (SJB) at [16]). </w:t>
      </w:r>
      <w:commentRangeStart w:id="5"/>
      <w:r>
        <w:t xml:space="preserve">Therefore, displacing the conclusiveness of a foreign judgment is a matter of proof. It cannot be done by merely raising objections and/or on a </w:t>
      </w:r>
      <w:commentRangeEnd w:id="5"/>
      <w:r>
        <w:rPr>
          <w:rStyle w:val="CommentReference"/>
          <w:i/>
          <w:iCs/>
          <w:sz w:val="24"/>
          <w:szCs w:val="22"/>
        </w:rPr>
        <w:commentReference w:id="5"/>
      </w:r>
      <w:r>
        <w:rPr>
          <w:i/>
          <w:iCs/>
        </w:rPr>
        <w:t>prima facie</w:t>
      </w:r>
      <w:r>
        <w:t xml:space="preserve"> consideration of the matter.</w:t>
      </w:r>
    </w:p>
    <w:p w14:paraId="38DF342A" w14:textId="77777777" w:rsidR="00567CFB" w:rsidRDefault="00000000">
      <w:pPr>
        <w:pStyle w:val="ListParagraph"/>
        <w:numPr>
          <w:ilvl w:val="0"/>
          <w:numId w:val="2"/>
        </w:numPr>
        <w:spacing w:before="240" w:after="240"/>
        <w:contextualSpacing w:val="0"/>
        <w:rPr>
          <w:rFonts w:cs="Times New Roman"/>
          <w:szCs w:val="24"/>
        </w:rPr>
      </w:pPr>
      <w:r>
        <w:rPr>
          <w:rFonts w:cs="Times New Roman"/>
          <w:szCs w:val="24"/>
        </w:rPr>
        <w:t>Further, a party which participated before a foreign court and received a judgment on the merits cannot re-agitate the same factual issues before the Indian court — a principle that applies with particular force here since both Russian courts expressly addressed and affirmed jurisdiction after considering the Respondent's arguments. (Oren Hydrocarbons Pvt. Ltd. v MSC Mediterranean Shipping Co. S.A., (2019) 6 CTC 549 (Madras HC) (SJB) at [14]–[15])</w:t>
      </w:r>
    </w:p>
    <w:p w14:paraId="61B9AD09" w14:textId="2E436886" w:rsidR="002116FE" w:rsidRDefault="00961934" w:rsidP="00165F2F">
      <w:pPr>
        <w:pStyle w:val="ListParagraph"/>
        <w:numPr>
          <w:ilvl w:val="0"/>
          <w:numId w:val="2"/>
        </w:numPr>
        <w:spacing w:before="240" w:after="240"/>
        <w:contextualSpacing w:val="0"/>
      </w:pPr>
      <w:r>
        <w:t>The Impugned Order reverses the starting point under Section 13. The Appellant was not required, at the interim stage, to prove the Russian Judgment afresh or to disprove each of the Respondent’s objections under Section 13(a) to (f). The statutory starting point is conclusiveness. The exceptions are for the Respondent to establish.</w:t>
      </w:r>
    </w:p>
    <w:p w14:paraId="016DF8FD" w14:textId="5DEDBC24" w:rsidR="00C4796C" w:rsidRDefault="002116FE" w:rsidP="00165F2F">
      <w:pPr>
        <w:pStyle w:val="ListParagraph"/>
        <w:numPr>
          <w:ilvl w:val="0"/>
          <w:numId w:val="2"/>
        </w:numPr>
        <w:spacing w:before="240" w:after="240"/>
        <w:contextualSpacing w:val="0"/>
      </w:pPr>
      <w:r>
        <w:rPr>
          <w:b/>
          <w:bCs/>
        </w:rPr>
        <w:t>Secondly</w:t>
      </w:r>
      <w:r>
        <w:t xml:space="preserve">, the first limb of Section 14 of the CPC creates a </w:t>
      </w:r>
      <w:r>
        <w:rPr>
          <w:i/>
          <w:iCs/>
        </w:rPr>
        <w:t>prima facie</w:t>
      </w:r>
      <w:r>
        <w:t xml:space="preserve"> case on the foreign judgment itself. Upon production of a certified copy, the Court “</w:t>
      </w:r>
      <w:r>
        <w:rPr>
          <w:i/>
          <w:iCs/>
        </w:rPr>
        <w:t>shall presume</w:t>
      </w:r>
      <w:r>
        <w:t>” that it was pronounced by a Court of competent jurisdiction, unless the contrary appears on the record. The expression “</w:t>
      </w:r>
      <w:r>
        <w:rPr>
          <w:i/>
          <w:iCs/>
        </w:rPr>
        <w:t>record</w:t>
      </w:r>
      <w:r>
        <w:t xml:space="preserve">” must be read in this statutory context. The Appellant’s burden as a judgment creditor is to produce the foreign judgment which Section 13 treats as conclusive. Section 14 then attaches a mandatory presumption to the production of the certified copy of that foreign judgment. Therefore, at the </w:t>
      </w:r>
      <w:r>
        <w:rPr>
          <w:i/>
          <w:iCs/>
        </w:rPr>
        <w:t>prima facie</w:t>
      </w:r>
      <w:r>
        <w:t xml:space="preserve"> / pre-trial stage, the relevant record for the Section 14 enquiry is the foreign judgment itself, and what appears on the face of that judgment and the proceedings recorded therein.</w:t>
      </w:r>
    </w:p>
    <w:p w14:paraId="062CFD9C" w14:textId="3947C56B" w:rsidR="00A31842" w:rsidRDefault="00A31842" w:rsidP="00165F2F">
      <w:pPr>
        <w:pStyle w:val="ListParagraph"/>
        <w:numPr>
          <w:ilvl w:val="0"/>
          <w:numId w:val="2"/>
        </w:numPr>
        <w:spacing w:before="240" w:after="240"/>
        <w:contextualSpacing w:val="0"/>
      </w:pPr>
      <w:r>
        <w:t xml:space="preserve">This construction also gives meaning to both limbs of Section 14. The first limb deals with what is apparent without proof on the face of the judgment. If the certified foreign judgment itself discloses want of jurisdiction, the presumption may not assist the judgment creditor. But if the foreign judgment itself considers and affirms jurisdiction, the contrary does not </w:t>
      </w:r>
      <w:r>
        <w:lastRenderedPageBreak/>
        <w:t>“</w:t>
      </w:r>
      <w:r>
        <w:rPr>
          <w:i/>
          <w:iCs/>
        </w:rPr>
        <w:t>appear</w:t>
      </w:r>
      <w:r>
        <w:t>” on the record. In that situation, the Court cannot travel into a wider enquiry into the Respondent’s collateral objections at the interim stage.</w:t>
      </w:r>
    </w:p>
    <w:p w14:paraId="5CA3392C" w14:textId="0FCF179C" w:rsidR="00264984" w:rsidRDefault="002A67A0" w:rsidP="00165F2F">
      <w:pPr>
        <w:pStyle w:val="ListParagraph"/>
        <w:numPr>
          <w:ilvl w:val="0"/>
          <w:numId w:val="2"/>
        </w:numPr>
        <w:spacing w:before="240" w:after="240"/>
        <w:contextualSpacing w:val="0"/>
      </w:pPr>
      <w:r>
        <w:rPr>
          <w:b/>
          <w:bCs/>
        </w:rPr>
        <w:t>Thirdly</w:t>
      </w:r>
      <w:r>
        <w:t>, the second limb of Section 14 is the proof route. Objections based on extraneous material or disputed facts do not “</w:t>
      </w:r>
      <w:r>
        <w:rPr>
          <w:i/>
          <w:iCs/>
        </w:rPr>
        <w:t>appear</w:t>
      </w:r>
      <w:r>
        <w:t xml:space="preserve">” on the record; they must be proved. That is a matter for trial or final adjudication, not a basis to deny the presumption at the threshold. This follows from the nature of a mandatory rebuttable presumption. It may be displaced, but only in the manner known to law: by proof, or by material that is sufficient to rebut the statutory presumption. It cannot be displaced merely by a pleaded objection or submission. </w:t>
      </w:r>
    </w:p>
    <w:p w14:paraId="7650DFE8" w14:textId="3B5DD94B" w:rsidR="007D0A75" w:rsidRDefault="007D0A75" w:rsidP="00165F2F">
      <w:pPr>
        <w:pStyle w:val="ListParagraph"/>
        <w:numPr>
          <w:ilvl w:val="0"/>
          <w:numId w:val="2"/>
        </w:numPr>
        <w:spacing w:before="240" w:after="240"/>
        <w:contextualSpacing w:val="0"/>
      </w:pPr>
      <w:r>
        <w:t xml:space="preserve">The Supreme Court has explained that a rebuttable presumption is a rule of evidence; it makes a </w:t>
      </w:r>
      <w:r>
        <w:rPr>
          <w:i/>
          <w:iCs/>
        </w:rPr>
        <w:t>prima facie</w:t>
      </w:r>
      <w:r>
        <w:t xml:space="preserve"> case for the party in whose favour it exists; it indicates where the burden lies; and it takes away judicial discretion by requiring </w:t>
      </w:r>
      <w:r>
        <w:rPr>
          <w:i/>
          <w:iCs/>
        </w:rPr>
        <w:t>prima facie</w:t>
      </w:r>
      <w:r>
        <w:t xml:space="preserve"> probative value to be attached to the foundational fact, subject to rebuttal by proof to the contrary (</w:t>
      </w:r>
      <w:r>
        <w:rPr>
          <w:b/>
          <w:bCs/>
          <w:i/>
          <w:iCs/>
        </w:rPr>
        <w:t>Sodhi Transport Co. v State of U.P.</w:t>
      </w:r>
      <w:r>
        <w:rPr>
          <w:i/>
          <w:iCs/>
        </w:rPr>
        <w:t>,</w:t>
      </w:r>
      <w:r>
        <w:t xml:space="preserve"> (1986) 2 SCC 486 (SC) (DB) at </w:t>
      </w:r>
      <w:r>
        <w:rPr>
          <w:rFonts w:cs="Times New Roman"/>
          <w:szCs w:val="24"/>
        </w:rPr>
        <w:t>[11]–[16]).</w:t>
      </w:r>
    </w:p>
    <w:p w14:paraId="2AE13843" w14:textId="3EE4A8E3" w:rsidR="00494144" w:rsidRDefault="00381B53" w:rsidP="00165F2F">
      <w:pPr>
        <w:pStyle w:val="ListParagraph"/>
        <w:numPr>
          <w:ilvl w:val="0"/>
          <w:numId w:val="2"/>
        </w:numPr>
        <w:spacing w:before="240" w:after="240"/>
        <w:contextualSpacing w:val="0"/>
      </w:pPr>
      <w:r>
        <w:t>Where the statute uses “</w:t>
      </w:r>
      <w:r>
        <w:rPr>
          <w:i/>
          <w:iCs/>
        </w:rPr>
        <w:t>shall presume</w:t>
      </w:r>
      <w:r>
        <w:t>”, the Court must necessarily raise the presumption once the foundational fact is proved. Such presumptions “</w:t>
      </w:r>
      <w:r>
        <w:rPr>
          <w:i/>
          <w:iCs/>
        </w:rPr>
        <w:t>will live, exist and survive</w:t>
      </w:r>
      <w:r>
        <w:t>” until the contrary is proved, and that a presumption “</w:t>
      </w:r>
      <w:r>
        <w:rPr>
          <w:i/>
          <w:iCs/>
        </w:rPr>
        <w:t>makes a prima facie case for a party for whose benefit it exists</w:t>
      </w:r>
      <w:r>
        <w:t>” (</w:t>
      </w:r>
      <w:r>
        <w:rPr>
          <w:b/>
          <w:bCs/>
          <w:i/>
          <w:iCs/>
        </w:rPr>
        <w:t>Kumar Exports v Sharma Carpets</w:t>
      </w:r>
      <w:r>
        <w:rPr>
          <w:i/>
          <w:iCs/>
        </w:rPr>
        <w:t>,</w:t>
      </w:r>
      <w:r>
        <w:t xml:space="preserve"> (2009) 2 SCC 513 (SC) (DB) at [9]–[11]). In that case, the presumption was displaced only because material was brought on record through a Sales Tax Department official (at [12]). This reinforces the distinction between raising an objection and proving it.</w:t>
      </w:r>
    </w:p>
    <w:p w14:paraId="4174E1FE" w14:textId="76AF1204" w:rsidR="00EC6FCB" w:rsidRDefault="00381B53" w:rsidP="00165F2F">
      <w:pPr>
        <w:pStyle w:val="ListParagraph"/>
        <w:numPr>
          <w:ilvl w:val="0"/>
          <w:numId w:val="2"/>
        </w:numPr>
        <w:spacing w:before="240" w:after="240"/>
        <w:contextualSpacing w:val="0"/>
      </w:pPr>
      <w:r>
        <w:t xml:space="preserve">The same principle applies at the threshold stage in the context of Section 138 of the Negotiable Instruments Act, 1881. In </w:t>
      </w:r>
      <w:r>
        <w:rPr>
          <w:b/>
          <w:bCs/>
          <w:i/>
          <w:iCs/>
        </w:rPr>
        <w:t>Rangappa v Sri Mohan</w:t>
      </w:r>
      <w:r>
        <w:rPr>
          <w:i/>
          <w:iCs/>
        </w:rPr>
        <w:t>,</w:t>
      </w:r>
      <w:r>
        <w:t xml:space="preserve"> (2010) 11 SCC 441 (SC) (3 Judge Bench), the issuance of the cheque and the signature of the accused were admitted. On those admitted facts, the Court held that the statutory presumption under the Act necessarily arose, and that such presumption included the existence of a legally enforceable debt or liability. The Supreme Court held that a mandatory statutory presumption creates an “</w:t>
      </w:r>
      <w:r>
        <w:rPr>
          <w:i/>
          <w:iCs/>
        </w:rPr>
        <w:t>initial presumption</w:t>
      </w:r>
      <w:r>
        <w:t xml:space="preserve">” in favour of the claimant. The Court clarified that the resisting party may rebut the presumption on a preponderance of probabilities, including by relying on the claimant’s material. However, the presumption is not postponed merely because a defence is raised. The Court held that, once the admitted signature triggered the statutory </w:t>
      </w:r>
      <w:r>
        <w:lastRenderedPageBreak/>
        <w:t xml:space="preserve">presumption, the complaint disclosed the </w:t>
      </w:r>
      <w:r>
        <w:rPr>
          <w:i/>
          <w:iCs/>
        </w:rPr>
        <w:t>prima facie</w:t>
      </w:r>
      <w:r>
        <w:t xml:space="preserve"> existence of legally enforceable liability (at [26]–[30]).</w:t>
      </w:r>
      <w:r>
        <w:rPr>
          <w:b/>
          <w:bCs/>
          <w:i/>
          <w:iCs/>
        </w:rPr>
        <w:t xml:space="preserve"> </w:t>
      </w:r>
    </w:p>
    <w:p w14:paraId="638EFCF3" w14:textId="52ED45F2" w:rsidR="00414A3E" w:rsidRDefault="00945853" w:rsidP="00165F2F">
      <w:pPr>
        <w:pStyle w:val="ListParagraph"/>
        <w:numPr>
          <w:ilvl w:val="0"/>
          <w:numId w:val="2"/>
        </w:numPr>
        <w:spacing w:before="240" w:after="240"/>
        <w:contextualSpacing w:val="0"/>
      </w:pPr>
      <w:r>
        <w:t xml:space="preserve">The point is made even more directly in </w:t>
      </w:r>
      <w:r>
        <w:rPr>
          <w:b/>
          <w:bCs/>
          <w:i/>
          <w:iCs/>
        </w:rPr>
        <w:t>Renuka v State of Maharashtra</w:t>
      </w:r>
      <w:r>
        <w:rPr>
          <w:i/>
          <w:iCs/>
        </w:rPr>
        <w:t>,</w:t>
      </w:r>
      <w:r>
        <w:t xml:space="preserve"> 2026 SCC OnLine SC 533 (SC) (DB). The Supreme Court held that once the statutory ingredients were </w:t>
      </w:r>
      <w:r>
        <w:rPr>
          <w:i/>
          <w:iCs/>
        </w:rPr>
        <w:t>prima facie</w:t>
      </w:r>
      <w:r>
        <w:t xml:space="preserve"> satisfied, the statutory presumption came into play; the burden shifted to the drawer; and the rebuttal exercise had to be undertaken during trial, either by relying on the complainant’s material or by leading evidence in rebuttal. The Court expressly held that the statutory presumption could not be dislodged “</w:t>
      </w:r>
      <w:r>
        <w:rPr>
          <w:i/>
          <w:iCs/>
        </w:rPr>
        <w:t>in a summary manner</w:t>
      </w:r>
      <w:r>
        <w:t>” merely by contending that no legally enforceable debt existed. The Court reiterated that once the basic ingredients triggering the presumption are satisfied, the proceedings cannot be scuttled at the pre-trial stage by accepting the defence (at [8]–[10]).</w:t>
      </w:r>
    </w:p>
    <w:p w14:paraId="6E7B5975" w14:textId="567A6848" w:rsidR="00414A3E" w:rsidRDefault="008A570B" w:rsidP="00165F2F">
      <w:pPr>
        <w:pStyle w:val="ListParagraph"/>
        <w:numPr>
          <w:ilvl w:val="0"/>
          <w:numId w:val="2"/>
        </w:numPr>
        <w:spacing w:before="240" w:after="240"/>
        <w:contextualSpacing w:val="0"/>
      </w:pPr>
      <w:r>
        <w:t xml:space="preserve">These authorities state a general rule of evidence law. A mandatory statutory presumption operates once the triggering fact is established. It supplies the </w:t>
      </w:r>
      <w:r>
        <w:rPr>
          <w:i/>
          <w:iCs/>
        </w:rPr>
        <w:t>prima facie</w:t>
      </w:r>
      <w:r>
        <w:t xml:space="preserve"> evidentiary basis. The resisting party may rebut it, but the burden of rebuttal lies on that party. Where rebuttal requires proof, the objection is a trial issue; it cannot suspend the presumption at the pre-trial stage.</w:t>
      </w:r>
    </w:p>
    <w:p w14:paraId="167F3403" w14:textId="312520C1" w:rsidR="00414A3E" w:rsidRDefault="00B46979" w:rsidP="00165F2F">
      <w:pPr>
        <w:pStyle w:val="ListParagraph"/>
        <w:numPr>
          <w:ilvl w:val="0"/>
          <w:numId w:val="2"/>
        </w:numPr>
        <w:spacing w:before="240" w:after="240"/>
        <w:contextualSpacing w:val="0"/>
      </w:pPr>
      <w:r>
        <w:t xml:space="preserve">Applying these principles to Sections 13 and 14 of the CPC, the position is clear. The Appellant’s </w:t>
      </w:r>
      <w:r>
        <w:rPr>
          <w:i/>
          <w:iCs/>
        </w:rPr>
        <w:t>prima facie</w:t>
      </w:r>
      <w:r>
        <w:t xml:space="preserve"> burden was to produce the certified Russian Judgment. Once that was done, Section 13 gave the judgment statutory conclusiveness as to matters directly adjudicated, and Section 14 required the Court to presume that the Russian Judgment was pronounced by a Court of competent jurisdiction. The Respondent’s objections under Section 13(a) to (f) were not pre-conditions to the operation of those provisions. They were the Respondent’s routes to displace them.</w:t>
      </w:r>
    </w:p>
    <w:p w14:paraId="4C99A251" w14:textId="4607CFAB" w:rsidR="00414A3E" w:rsidRDefault="004F3E44" w:rsidP="00165F2F">
      <w:pPr>
        <w:pStyle w:val="ListParagraph"/>
        <w:numPr>
          <w:ilvl w:val="0"/>
          <w:numId w:val="2"/>
        </w:numPr>
        <w:spacing w:before="240" w:after="240"/>
        <w:contextualSpacing w:val="0"/>
      </w:pPr>
      <w:r>
        <w:t xml:space="preserve">At the pre-trial stage, absent proof already on record, the Respondent could defeat the statutory </w:t>
      </w:r>
      <w:r>
        <w:rPr>
          <w:i/>
          <w:iCs/>
        </w:rPr>
        <w:t>prima facie</w:t>
      </w:r>
      <w:r>
        <w:t xml:space="preserve"> position only by showing that the exception appeared from the Russian Judgment itself. However, the Impugned Order holds that when the Respondent objects to the conclusiveness of the foreign judgment or to the presumption of competence, the Court must examine at the pre-trial stage whether there is </w:t>
      </w:r>
      <w:r>
        <w:rPr>
          <w:i/>
          <w:iCs/>
        </w:rPr>
        <w:t>prima facie</w:t>
      </w:r>
      <w:r>
        <w:t xml:space="preserve"> substance in those objections. It further holds that unless the Court is </w:t>
      </w:r>
      <w:r>
        <w:rPr>
          <w:i/>
          <w:iCs/>
        </w:rPr>
        <w:t>prima facie</w:t>
      </w:r>
      <w:r>
        <w:t xml:space="preserve"> satisfied that none of the exceptions under Section 13(a) to (f) apply, there is no question of granting an injunction. With respect, the statutory test is precisely the opposite.</w:t>
      </w:r>
    </w:p>
    <w:p w14:paraId="6B1E8A9E" w14:textId="0A95FC80" w:rsidR="007E0E98" w:rsidRDefault="00B46979" w:rsidP="00165F2F">
      <w:pPr>
        <w:pStyle w:val="ListParagraph"/>
        <w:numPr>
          <w:ilvl w:val="0"/>
          <w:numId w:val="2"/>
        </w:numPr>
        <w:spacing w:before="240" w:after="240"/>
        <w:contextualSpacing w:val="0"/>
      </w:pPr>
      <w:r>
        <w:lastRenderedPageBreak/>
        <w:t xml:space="preserve">Thus, the Respondent’s objections may be tried. They may be supported by evidence at the appropriate stage. But they could not, by their mere assertion, deprive the Russian Judgment of the statutory </w:t>
      </w:r>
      <w:r>
        <w:rPr>
          <w:i/>
          <w:iCs/>
        </w:rPr>
        <w:t>prima facie</w:t>
      </w:r>
      <w:r>
        <w:t xml:space="preserve"> effect that Sections 13 and 14 of the CPC confer upon it. The Impugned Order therefore applies an erroneous legal standard at the threshold.</w:t>
      </w:r>
    </w:p>
    <w:p w14:paraId="691D1CC5" w14:textId="72F775E0" w:rsidR="003A05C2" w:rsidRDefault="003A05C2" w:rsidP="00165F2F">
      <w:pPr>
        <w:pStyle w:val="Heading2"/>
        <w:spacing w:after="240"/>
      </w:pPr>
      <w:r>
        <w:t>The face of the record did not displace the statutory presumptions</w:t>
      </w:r>
    </w:p>
    <w:p w14:paraId="44DABD4E" w14:textId="6ED3520F" w:rsidR="00FE0659" w:rsidRDefault="00FC077C" w:rsidP="00165F2F">
      <w:pPr>
        <w:pStyle w:val="ListParagraph"/>
        <w:numPr>
          <w:ilvl w:val="0"/>
          <w:numId w:val="2"/>
        </w:numPr>
        <w:spacing w:before="240" w:after="240"/>
        <w:contextualSpacing w:val="0"/>
      </w:pPr>
      <w:r>
        <w:t>The threshold legal error identified above directly affected the Ld. Single Judge’s consideration of the Russian Judgment.</w:t>
      </w:r>
    </w:p>
    <w:p w14:paraId="4ACEE772" w14:textId="683BC6F6" w:rsidR="00152550" w:rsidRDefault="00152550" w:rsidP="00165F2F">
      <w:pPr>
        <w:pStyle w:val="ListParagraph"/>
        <w:numPr>
          <w:ilvl w:val="0"/>
          <w:numId w:val="2"/>
        </w:numPr>
        <w:spacing w:before="240" w:after="240"/>
        <w:contextualSpacing w:val="0"/>
      </w:pPr>
      <w:r>
        <w:t>At paragraph 14 of the Impugned Order, the Ld. Single Judge observed:</w:t>
      </w:r>
    </w:p>
    <w:p w14:paraId="380BCB70" w14:textId="50603424" w:rsidR="00152550" w:rsidRPr="003605C8" w:rsidRDefault="00152550" w:rsidP="00165F2F">
      <w:pPr>
        <w:pStyle w:val="Caption"/>
        <w:rPr>
          <w:i w:val="0"/>
          <w:iCs w:val="0"/>
        </w:rPr>
      </w:pPr>
      <w:r>
        <w:rPr>
          <w:i w:val="0"/>
          <w:iCs w:val="0"/>
        </w:rPr>
        <w:t>“</w:t>
      </w:r>
      <w:r>
        <w:t xml:space="preserve">From the record, it appears that the plaintiff filed the claim before the Moscow commercial court only after the English court issued an order against the plaintiff. Therefore, in view of the arbitration clause between the parties, if the Moscow Commercial Court lacked jurisdiction, the conclusiveness and presumption under Sections 13 and 14 of the CPC would not apply. </w:t>
      </w:r>
      <w:r>
        <w:rPr>
          <w:u w:val="single"/>
        </w:rPr>
        <w:t>Except for the Russian judgment, the plaintiff does not rely upon any other evidence in support of the claim to recover the amount from the defendant. Therefore, it is necessary to examine whether the Russian judgment can be accepted as conclusive evidence at this pre-trial stage for considering the grant of interim relief as prayed by the plaintiff</w:t>
      </w:r>
      <w:r>
        <w:t>.</w:t>
      </w:r>
      <w:r>
        <w:rPr>
          <w:i w:val="0"/>
          <w:iCs w:val="0"/>
        </w:rPr>
        <w:t>” (emphasis supplied)</w:t>
      </w:r>
    </w:p>
    <w:p w14:paraId="22F6581E" w14:textId="12B0AA34" w:rsidR="00EC014E" w:rsidRDefault="00E177F6" w:rsidP="00165F2F">
      <w:pPr>
        <w:pStyle w:val="ListParagraph"/>
        <w:numPr>
          <w:ilvl w:val="0"/>
          <w:numId w:val="2"/>
        </w:numPr>
        <w:spacing w:before="240" w:after="240"/>
        <w:contextualSpacing w:val="0"/>
      </w:pPr>
      <w:r>
        <w:t>For the reasons explained above, the observation that the Appellant relied on no evidence “</w:t>
      </w:r>
      <w:r>
        <w:rPr>
          <w:i/>
          <w:iCs/>
        </w:rPr>
        <w:t>except for the Russian judgment</w:t>
      </w:r>
      <w:r>
        <w:t>” proceeds on a fundamental misconception.</w:t>
      </w:r>
    </w:p>
    <w:p w14:paraId="54A91237" w14:textId="6395F8D4" w:rsidR="00B57150" w:rsidRDefault="00B57150" w:rsidP="00165F2F">
      <w:pPr>
        <w:pStyle w:val="ListParagraph"/>
        <w:numPr>
          <w:ilvl w:val="0"/>
          <w:numId w:val="2"/>
        </w:numPr>
        <w:spacing w:before="240" w:after="240"/>
        <w:contextualSpacing w:val="0"/>
      </w:pPr>
      <w:r>
        <w:t>The same error is repeated at paragraph 19, where the Impugned Order holds that, because the Appellant participated in international arbitration concerning the same dispute, “</w:t>
      </w:r>
      <w:r>
        <w:rPr>
          <w:i/>
          <w:iCs/>
        </w:rPr>
        <w:t>at this pre-trial stage, the Russian judgment cannot be relied upon as conclusive evidence as contemplated under Section 13 of the CPC</w:t>
      </w:r>
      <w:r>
        <w:t>”, and that the presumption under Section 14 “</w:t>
      </w:r>
      <w:r>
        <w:rPr>
          <w:i/>
          <w:iCs/>
        </w:rPr>
        <w:t>cannot be applied at this pre-trial stage</w:t>
      </w:r>
      <w:r>
        <w:t>” either.</w:t>
      </w:r>
    </w:p>
    <w:p w14:paraId="5A897A99" w14:textId="0F3C138F" w:rsidR="00B57150" w:rsidRDefault="00E177F6" w:rsidP="00165F2F">
      <w:pPr>
        <w:pStyle w:val="ListParagraph"/>
        <w:numPr>
          <w:ilvl w:val="0"/>
          <w:numId w:val="2"/>
        </w:numPr>
        <w:spacing w:before="240" w:after="240"/>
        <w:contextualSpacing w:val="0"/>
      </w:pPr>
      <w:r>
        <w:t>This again reverses the statutory enquiry. The relevant question was whether the Russian Judgment itself disclosed that the Moscow Commercial Court lacked jurisdiction. It did not. On the contrary, the Russian Judgment considered the arbitration objection and held that the Moscow Commercial Court had jurisdiction.</w:t>
      </w:r>
    </w:p>
    <w:p w14:paraId="3B04B937" w14:textId="42F4A239" w:rsidR="001569A0" w:rsidRDefault="001569A0" w:rsidP="00165F2F">
      <w:pPr>
        <w:pStyle w:val="ListParagraph"/>
        <w:numPr>
          <w:ilvl w:val="0"/>
          <w:numId w:val="2"/>
        </w:numPr>
        <w:spacing w:before="240" w:after="240"/>
        <w:contextualSpacing w:val="0"/>
      </w:pPr>
      <w:r>
        <w:lastRenderedPageBreak/>
        <w:t>The culmination of the error is at paragraph 35 of the Impugned Order, where the Ld. Single Judge held:</w:t>
      </w:r>
    </w:p>
    <w:p w14:paraId="29B664A5" w14:textId="170ABF5A" w:rsidR="001569A0" w:rsidRDefault="001569A0" w:rsidP="00165F2F">
      <w:pPr>
        <w:pStyle w:val="Caption"/>
      </w:pPr>
      <w:r>
        <w:rPr>
          <w:i w:val="0"/>
          <w:iCs w:val="0"/>
        </w:rPr>
        <w:t>“</w:t>
      </w:r>
      <w:r>
        <w:t xml:space="preserve">In the present case, in view of the arbitration agreements between the parties and the [Appellant]’s participation in the international arbitration proceedings pertaining to the same claim arising out of the same dispute, </w:t>
      </w:r>
      <w:r>
        <w:rPr>
          <w:u w:val="single"/>
        </w:rPr>
        <w:t>the competence of the Russian court in entertaining the [Appellant]’s claim is doubtful</w:t>
      </w:r>
      <w:r>
        <w:t xml:space="preserve">. </w:t>
      </w:r>
      <w:r>
        <w:rPr>
          <w:u w:val="single"/>
        </w:rPr>
        <w:t>Therefore, the presumption under Section 14 of the CPC cannot be applied at the pre-trial stage</w:t>
      </w:r>
      <w:r>
        <w:t xml:space="preserve">… the [Respondent] has raised serious objections on the grounds that the proceedings are founded on an incorrect view of international law, and the proceedings also suffer from a breach of principles of natural justice. </w:t>
      </w:r>
      <w:r>
        <w:rPr>
          <w:u w:val="single"/>
        </w:rPr>
        <w:t>Therefore, the conclusiveness of the Russian judgment needs to be tested in the trial. At this stage, the Russian judgment cannot be accepted as an absolute and conclusive proof or evidence to support the [Appellant]’s money claim</w:t>
      </w:r>
      <w:r>
        <w:t>.</w:t>
      </w:r>
      <w:r>
        <w:rPr>
          <w:i w:val="0"/>
          <w:iCs w:val="0"/>
        </w:rPr>
        <w:t>” (emphasis supplied)</w:t>
      </w:r>
    </w:p>
    <w:p w14:paraId="269021DD" w14:textId="5F5CC720" w:rsidR="001569A0" w:rsidRDefault="003F5FE7" w:rsidP="00165F2F">
      <w:pPr>
        <w:pStyle w:val="ListParagraph"/>
        <w:numPr>
          <w:ilvl w:val="0"/>
          <w:numId w:val="2"/>
        </w:numPr>
        <w:spacing w:before="240" w:after="240"/>
        <w:contextualSpacing w:val="0"/>
      </w:pPr>
      <w:r>
        <w:t>Paragraph 35 treats three alleged Section 13 exceptions as sufficient to deprive the Russian Judgment of effect at the interim stage: want of competence under Section 13(a), alleged incorrect view of international law under Section 13(c), and alleged breach of natural justice under Section 13(d). None of these exceptions appeared from the Russian Judgment itself. At the highest, they were objections requiring proof.</w:t>
      </w:r>
    </w:p>
    <w:p w14:paraId="62884E0E" w14:textId="25D4870A" w:rsidR="00F562E8" w:rsidRDefault="006F1071" w:rsidP="00165F2F">
      <w:pPr>
        <w:pStyle w:val="ListParagraph"/>
        <w:numPr>
          <w:ilvl w:val="0"/>
          <w:numId w:val="2"/>
        </w:numPr>
        <w:spacing w:before="240" w:after="240"/>
        <w:contextualSpacing w:val="0"/>
      </w:pPr>
      <w:r>
        <w:t>The first is that the Impugned Order treats the Moscow Commercial Court’s competence as “</w:t>
      </w:r>
      <w:r>
        <w:rPr>
          <w:i/>
          <w:iCs/>
        </w:rPr>
        <w:t>doubtful</w:t>
      </w:r>
      <w:r>
        <w:t xml:space="preserve">” even though the Russian Judgment and the Russian Appellate Judgment expressly considered and upheld that very question. The Russian Judgment confirms its competence </w:t>
      </w:r>
      <w:r>
        <w:rPr>
          <w:rFonts w:cs="Times New Roman"/>
          <w:szCs w:val="24"/>
        </w:rPr>
        <w:t xml:space="preserve">on two independent bases. </w:t>
      </w:r>
      <w:r>
        <w:rPr>
          <w:rFonts w:cs="Times New Roman"/>
          <w:i/>
          <w:iCs/>
          <w:szCs w:val="24"/>
        </w:rPr>
        <w:t>First</w:t>
      </w:r>
      <w:r>
        <w:rPr>
          <w:rFonts w:cs="Times New Roman"/>
          <w:szCs w:val="24"/>
        </w:rPr>
        <w:t xml:space="preserve">, it held that the dispute directly fell within Article 248.1, Part 1(2), because the basis of the dispute was the restrictive measures imposed by the European Union on Russian persons and Russian legal entities. </w:t>
      </w:r>
      <w:r>
        <w:rPr>
          <w:rFonts w:cs="Times New Roman"/>
          <w:i/>
          <w:iCs/>
          <w:szCs w:val="24"/>
        </w:rPr>
        <w:t>Second</w:t>
      </w:r>
      <w:r>
        <w:rPr>
          <w:rFonts w:cs="Times New Roman"/>
          <w:szCs w:val="24"/>
        </w:rPr>
        <w:t>, it held that Article 248.1, Part 4 applied because the circumstances showed obvious obstacles to the Appellant accessing justice in the United Kingdom.</w:t>
      </w:r>
      <w:r>
        <w:t xml:space="preserve"> It records:</w:t>
      </w:r>
      <w:bookmarkEnd w:id="2"/>
    </w:p>
    <w:p w14:paraId="42706941" w14:textId="097DB15C" w:rsidR="00D04493" w:rsidRPr="00D04493" w:rsidRDefault="00AF5291" w:rsidP="00165F2F">
      <w:pPr>
        <w:pStyle w:val="ListParagraph"/>
        <w:numPr>
          <w:ilvl w:val="1"/>
          <w:numId w:val="2"/>
        </w:numPr>
        <w:spacing w:before="240" w:after="240"/>
        <w:contextualSpacing w:val="0"/>
      </w:pPr>
      <w:r>
        <w:rPr>
          <w:rFonts w:cs="Times New Roman"/>
          <w:szCs w:val="24"/>
        </w:rPr>
        <w:t>“</w:t>
      </w:r>
      <w:r>
        <w:rPr>
          <w:rFonts w:cs="Times New Roman"/>
          <w:i/>
          <w:iCs/>
          <w:szCs w:val="24"/>
        </w:rPr>
        <w:t xml:space="preserve">Taking into account the fact that the basis for the suspension of fulfillment of obligations under the disputed contracts is the actions of MT Russia LLC and Tecnimont SpA due to the adoption of sanctions by the European Union, which subsequently led to the unilateral withdrawal of EchNW-2 LLC from the said contracts, </w:t>
      </w:r>
      <w:r>
        <w:rPr>
          <w:rFonts w:cs="Times New Roman"/>
          <w:i/>
          <w:iCs/>
          <w:szCs w:val="24"/>
          <w:u w:val="single"/>
        </w:rPr>
        <w:t xml:space="preserve">the Court concluded that the basis of this dispute is injunctive remedies imposed by </w:t>
      </w:r>
      <w:r>
        <w:rPr>
          <w:rFonts w:cs="Times New Roman"/>
          <w:i/>
          <w:iCs/>
          <w:szCs w:val="24"/>
          <w:u w:val="single"/>
        </w:rPr>
        <w:lastRenderedPageBreak/>
        <w:t>foreign states (the European Union) on citizens of the Russian Federation and Russian legal entities, therefore, this case by virtue of Part 1(2) of Article 248.1 of the CCP RF directly falls within the exclusive competence of a commercial court in the Russian Federation</w:t>
      </w:r>
      <w:r>
        <w:rPr>
          <w:rFonts w:cs="Times New Roman"/>
          <w:i/>
          <w:iCs/>
          <w:szCs w:val="24"/>
        </w:rPr>
        <w:t>. The basis provided for in Part 1(2) of Article 248.1 of the CCP RF is independent, and its application does not require establishing whether injunctive remedies have actually been imposed on the plaintiff by foreign states or whether such remedies are actually being applied to the plaintiff</w:t>
      </w:r>
      <w:r>
        <w:rPr>
          <w:rFonts w:cs="Times New Roman"/>
          <w:szCs w:val="24"/>
        </w:rPr>
        <w:t>.” (emphasis supplied) (</w:t>
      </w:r>
      <w:r>
        <w:rPr>
          <w:rFonts w:cs="Times New Roman"/>
          <w:b/>
          <w:bCs/>
          <w:szCs w:val="24"/>
        </w:rPr>
        <w:t>Russian Judgment</w:t>
      </w:r>
      <w:r>
        <w:rPr>
          <w:rFonts w:cs="Times New Roman"/>
          <w:szCs w:val="24"/>
        </w:rPr>
        <w:t xml:space="preserve"> in Ex. D at p. 2238)</w:t>
      </w:r>
    </w:p>
    <w:p w14:paraId="0D6D760B" w14:textId="712AE330" w:rsidR="00495902" w:rsidRPr="00495902" w:rsidRDefault="00AF5291" w:rsidP="00495902">
      <w:pPr>
        <w:pStyle w:val="ListParagraph"/>
        <w:numPr>
          <w:ilvl w:val="1"/>
          <w:numId w:val="2"/>
        </w:numPr>
        <w:spacing w:before="240" w:after="240"/>
        <w:contextualSpacing w:val="0"/>
      </w:pPr>
      <w:r>
        <w:rPr>
          <w:rFonts w:cs="Times New Roman"/>
          <w:szCs w:val="24"/>
        </w:rPr>
        <w:t>“</w:t>
      </w:r>
      <w:r>
        <w:rPr>
          <w:rFonts w:cs="Times New Roman"/>
          <w:i/>
          <w:iCs/>
          <w:szCs w:val="24"/>
          <w:u w:val="single"/>
        </w:rPr>
        <w:t>in this case, Part 4 of Article 248.1 of the CCP RF shall apply, since the circumstances of the case indicate obvious obstacles for EchNW-2 LLC in accessing justice in the United Kingdom</w:t>
      </w:r>
      <w:r>
        <w:rPr>
          <w:rFonts w:cs="Times New Roman"/>
          <w:szCs w:val="24"/>
        </w:rPr>
        <w:t xml:space="preserve">… </w:t>
      </w:r>
      <w:r>
        <w:rPr>
          <w:rFonts w:cs="Times New Roman"/>
          <w:i/>
          <w:iCs/>
          <w:szCs w:val="24"/>
          <w:lang w:val="en-IN"/>
        </w:rPr>
        <w:t xml:space="preserve">the mere fact of imposing injunctive remedies on a Russian person involved in an international commercial arbitration dispute outside the territory of the Russian Federation is sufficient to conclude that such person's access to justice is restricted </w:t>
      </w:r>
      <w:r>
        <w:rPr>
          <w:rFonts w:cs="Times New Roman"/>
          <w:i/>
          <w:iCs/>
          <w:szCs w:val="24"/>
        </w:rPr>
        <w:t xml:space="preserve">... </w:t>
      </w:r>
    </w:p>
    <w:p w14:paraId="2A190166" w14:textId="6F03F3D6" w:rsidR="00AF5291" w:rsidRPr="00D04493" w:rsidRDefault="00495902" w:rsidP="00495902">
      <w:pPr>
        <w:pStyle w:val="ListParagraph"/>
        <w:spacing w:before="240" w:after="240"/>
        <w:ind w:firstLine="0"/>
        <w:contextualSpacing w:val="0"/>
      </w:pPr>
      <w:r>
        <w:rPr>
          <w:rFonts w:cs="Times New Roman"/>
          <w:i/>
          <w:iCs/>
          <w:szCs w:val="24"/>
        </w:rPr>
        <w:t>Taking into account that, according to the Plaintiffs explanations, Arbitration … is being conducted in London, the capital of the United Kingdom (included in the List of Foreign States and Territories Committing Unfriendly Acts against the Russian Federation, Russian Legal Entities and Individuals…), the arbitrators are also British subjects, and the basis of the dispute is the legality of the imposition and implementation of foreign sanctions, th</w:t>
      </w:r>
      <w:r>
        <w:rPr>
          <w:rFonts w:cs="Times New Roman"/>
          <w:i/>
          <w:iCs/>
          <w:szCs w:val="24"/>
          <w:u w:val="single"/>
        </w:rPr>
        <w:t>e Court concludes that there are sufficient grounds to doubt the independence and impartiality of the arbitrators in the consideration of the case</w:t>
      </w:r>
      <w:r>
        <w:rPr>
          <w:rFonts w:cs="Times New Roman"/>
          <w:i/>
          <w:iCs/>
          <w:szCs w:val="24"/>
        </w:rPr>
        <w:t>.</w:t>
      </w:r>
      <w:r>
        <w:rPr>
          <w:rFonts w:cs="Times New Roman"/>
          <w:szCs w:val="24"/>
        </w:rPr>
        <w:t>” (emphasis supplied) (</w:t>
      </w:r>
      <w:r>
        <w:rPr>
          <w:rFonts w:cs="Times New Roman"/>
          <w:b/>
          <w:bCs/>
          <w:szCs w:val="24"/>
        </w:rPr>
        <w:t>Russian Judgment</w:t>
      </w:r>
      <w:r>
        <w:rPr>
          <w:rFonts w:cs="Times New Roman"/>
          <w:szCs w:val="24"/>
        </w:rPr>
        <w:t xml:space="preserve"> in Ex. D at pp. 2238-2239)</w:t>
      </w:r>
    </w:p>
    <w:p w14:paraId="1C577B1A" w14:textId="58AC80F9" w:rsidR="00AF5291" w:rsidRPr="00BA1EB9" w:rsidRDefault="00AF5291" w:rsidP="00165F2F">
      <w:pPr>
        <w:pStyle w:val="ListParagraph"/>
        <w:numPr>
          <w:ilvl w:val="0"/>
          <w:numId w:val="2"/>
        </w:numPr>
        <w:spacing w:before="240" w:after="240"/>
        <w:contextualSpacing w:val="0"/>
        <w:rPr>
          <w:rFonts w:cs="Times New Roman"/>
          <w:szCs w:val="24"/>
        </w:rPr>
      </w:pPr>
      <w:r>
        <w:rPr>
          <w:rFonts w:cs="Times New Roman"/>
          <w:szCs w:val="24"/>
        </w:rPr>
        <w:t>The Russian Appellate Judgment affirmed the Russian Judgment’s findings and independently restated both grounds in its own terms:</w:t>
      </w:r>
    </w:p>
    <w:p w14:paraId="03348FAD" w14:textId="733E29C8" w:rsidR="00AF5291" w:rsidRPr="00BA1EB9" w:rsidRDefault="00AF5291" w:rsidP="00165F2F">
      <w:pPr>
        <w:pStyle w:val="ListParagraph"/>
        <w:numPr>
          <w:ilvl w:val="1"/>
          <w:numId w:val="2"/>
        </w:numPr>
        <w:spacing w:before="240" w:after="240"/>
        <w:contextualSpacing w:val="0"/>
        <w:rPr>
          <w:rFonts w:cs="Times New Roman"/>
          <w:szCs w:val="24"/>
        </w:rPr>
      </w:pPr>
      <w:r>
        <w:rPr>
          <w:rFonts w:cs="Times New Roman"/>
          <w:szCs w:val="24"/>
        </w:rPr>
        <w:t>“..</w:t>
      </w:r>
      <w:r>
        <w:rPr>
          <w:rFonts w:cs="Times New Roman"/>
          <w:i/>
          <w:iCs/>
          <w:szCs w:val="24"/>
        </w:rPr>
        <w:t>.the court of first instance came to the rightful conclusion that the basis of this dispute are restrictive measures imposed by foreign states (the European Union) on citizens of the Russian Federation and Russian legal entities, therefore, this case by virtue of the APC RF clause 2 of part 1 of article 248.1 directly falls within the exclusive competence of an arbitration court in the Russian Federation.</w:t>
      </w:r>
      <w:r>
        <w:rPr>
          <w:rFonts w:cs="Times New Roman"/>
          <w:szCs w:val="24"/>
        </w:rPr>
        <w:t>” (</w:t>
      </w:r>
      <w:r>
        <w:rPr>
          <w:rFonts w:cs="Times New Roman"/>
          <w:b/>
          <w:bCs/>
          <w:szCs w:val="24"/>
        </w:rPr>
        <w:t>Russian Appellate Judgment</w:t>
      </w:r>
      <w:r>
        <w:rPr>
          <w:rFonts w:cs="Times New Roman"/>
          <w:szCs w:val="24"/>
        </w:rPr>
        <w:t xml:space="preserve"> in Ex. G at pp. 2810-11)</w:t>
      </w:r>
    </w:p>
    <w:p w14:paraId="04EB68AC" w14:textId="249FAAE2" w:rsidR="00A1458A" w:rsidRDefault="00AF5291" w:rsidP="00A1458A">
      <w:pPr>
        <w:pStyle w:val="ListParagraph"/>
        <w:numPr>
          <w:ilvl w:val="1"/>
          <w:numId w:val="2"/>
        </w:numPr>
        <w:spacing w:before="240" w:after="240"/>
        <w:contextualSpacing w:val="0"/>
        <w:rPr>
          <w:rFonts w:cs="Times New Roman"/>
          <w:szCs w:val="24"/>
        </w:rPr>
      </w:pPr>
      <w:r>
        <w:rPr>
          <w:rFonts w:cs="Times New Roman"/>
          <w:szCs w:val="24"/>
        </w:rPr>
        <w:lastRenderedPageBreak/>
        <w:t>“</w:t>
      </w:r>
      <w:r>
        <w:rPr>
          <w:rFonts w:cs="Times New Roman"/>
          <w:i/>
          <w:iCs/>
          <w:szCs w:val="24"/>
        </w:rPr>
        <w:t>...the APC RF part 4 of article 248.1 is to be applied, since the circumstances of the case indicate obvious barriers for NW2 as a Russian legal entity in access to objective and fair justice on the territory of Great Britain.</w:t>
      </w:r>
      <w:r>
        <w:rPr>
          <w:rFonts w:cs="Times New Roman"/>
          <w:szCs w:val="24"/>
        </w:rPr>
        <w:t>” (</w:t>
      </w:r>
      <w:r>
        <w:rPr>
          <w:rFonts w:cs="Times New Roman"/>
          <w:b/>
          <w:bCs/>
          <w:szCs w:val="24"/>
        </w:rPr>
        <w:t>Russian Appellate Judgement</w:t>
      </w:r>
      <w:r>
        <w:rPr>
          <w:rFonts w:cs="Times New Roman"/>
          <w:szCs w:val="24"/>
        </w:rPr>
        <w:t xml:space="preserve"> in Ex. G at p. 2811) </w:t>
      </w:r>
    </w:p>
    <w:p w14:paraId="2A6C2DC3" w14:textId="33B2BAAB" w:rsidR="00B65844" w:rsidRPr="00A1458A" w:rsidRDefault="00A1458A" w:rsidP="007F0474">
      <w:pPr>
        <w:pStyle w:val="ListParagraph"/>
        <w:numPr>
          <w:ilvl w:val="0"/>
          <w:numId w:val="2"/>
        </w:numPr>
        <w:spacing w:before="240" w:after="240"/>
        <w:contextualSpacing w:val="0"/>
        <w:rPr>
          <w:rFonts w:cs="Times New Roman"/>
          <w:szCs w:val="24"/>
        </w:rPr>
      </w:pPr>
      <w:r>
        <w:rPr>
          <w:rFonts w:cs="Times New Roman"/>
          <w:szCs w:val="24"/>
        </w:rPr>
        <w:t>Further, the Russian Appellate Judgment expressly affirmed its jurisdiction, by holding that the Appellant’s “</w:t>
      </w:r>
      <w:r>
        <w:rPr>
          <w:rFonts w:cs="Times New Roman"/>
          <w:i/>
          <w:iCs/>
          <w:szCs w:val="24"/>
        </w:rPr>
        <w:t>…participation in a foreign arbitration, contrary to the defendants' opinion, does not in itself confirm the waiver of the right to judicial protection, which, among other things, is granted by the Russian legislator in the APC RF Article 248.1</w:t>
      </w:r>
      <w:r>
        <w:rPr>
          <w:rFonts w:cs="Times New Roman"/>
          <w:szCs w:val="24"/>
        </w:rPr>
        <w:t>” (</w:t>
      </w:r>
      <w:r>
        <w:rPr>
          <w:rFonts w:cs="Times New Roman"/>
          <w:b/>
          <w:bCs/>
          <w:szCs w:val="24"/>
        </w:rPr>
        <w:t>Russian Appellate Judgement</w:t>
      </w:r>
      <w:r>
        <w:rPr>
          <w:rFonts w:cs="Times New Roman"/>
          <w:szCs w:val="24"/>
        </w:rPr>
        <w:t xml:space="preserve"> in Ex. G at p. 2811)</w:t>
      </w:r>
    </w:p>
    <w:p w14:paraId="0FE1194E" w14:textId="481CDF08" w:rsidR="00AC31BA" w:rsidRDefault="00D32748" w:rsidP="00165F2F">
      <w:pPr>
        <w:pStyle w:val="ListParagraph"/>
        <w:numPr>
          <w:ilvl w:val="0"/>
          <w:numId w:val="2"/>
        </w:numPr>
        <w:suppressAutoHyphens w:val="0"/>
        <w:spacing w:before="240" w:after="240"/>
        <w:contextualSpacing w:val="0"/>
        <w:rPr>
          <w:rFonts w:cs="Times New Roman"/>
          <w:szCs w:val="24"/>
        </w:rPr>
      </w:pPr>
      <w:r>
        <w:rPr>
          <w:rFonts w:cs="Times New Roman"/>
          <w:szCs w:val="24"/>
        </w:rPr>
        <w:t xml:space="preserve">Therefore, nothing in the Russian Judgment or the Russian Appellate Judgment leaves the Moscow Commercial Court’s own jurisdiction in any doubt or forms any basis for the alleged breach of natural justice in the Russian proceedings. The Impugned Order’s finding of “doubt” is therefore not drawn from the face of the Russian Judgment at all. Instead, the Ld. Single Judge exercised discretion and relied upon extrinsic evidence to reach its finding, which is bad in law and renders the Impugned Order </w:t>
      </w:r>
      <w:r>
        <w:rPr>
          <w:rFonts w:cs="Times New Roman"/>
          <w:i/>
          <w:iCs/>
          <w:szCs w:val="24"/>
        </w:rPr>
        <w:t>per incuriam</w:t>
      </w:r>
      <w:r>
        <w:rPr>
          <w:rFonts w:cs="Times New Roman"/>
          <w:szCs w:val="24"/>
        </w:rPr>
        <w:t>.  Moreover, in reaching that finding of “doubt”, the Impugned Order also failed to take note of the Expert Report of Mr Vladimir Melnikov (Appeal Memo at pp. 2365 and 2382–2391), which directly addressed the jurisdictional basis of Article 248.1 and confirmed the significance of the Respondent’s failure to invoke Article 148.1. The Impugned Order therefore cast doubt on the Moscow Commercial Court’s competence without engaging any of the three sources on record that directly answered the question: the Russian Judgment, the Russian Appellate Judgment, or the expert opinion.</w:t>
      </w:r>
    </w:p>
    <w:p w14:paraId="46BADE93" w14:textId="0FB77BE2" w:rsidR="00DB0DBD" w:rsidRDefault="006F1071" w:rsidP="00165F2F">
      <w:pPr>
        <w:pStyle w:val="ListParagraph"/>
        <w:numPr>
          <w:ilvl w:val="0"/>
          <w:numId w:val="2"/>
        </w:numPr>
        <w:suppressAutoHyphens w:val="0"/>
        <w:spacing w:before="240" w:after="240"/>
        <w:contextualSpacing w:val="0"/>
        <w:rPr>
          <w:rFonts w:cs="Times New Roman"/>
          <w:szCs w:val="24"/>
        </w:rPr>
      </w:pPr>
      <w:r>
        <w:rPr>
          <w:rFonts w:eastAsia="Times New Roman" w:cs="Times New Roman"/>
          <w:szCs w:val="24"/>
        </w:rPr>
        <w:t xml:space="preserve">The second error is that the Impugned Order conflates competence in the international sense with an alleged incorrect view of international law. Even if the Ld. Single Judge could examine the competence of the Moscow Commercial Court, it could not overrule the Russian Judgment. Under Sections 13 and 14 of the CPC, the Ld. Single Judge could only inquire whether the Moscow Commercial Court lacked competence in the international sense recognised by Indian law, or whether such want of competence appeared on the record or was proved. </w:t>
      </w:r>
      <w:r>
        <w:rPr>
          <w:rFonts w:cs="Times New Roman"/>
          <w:szCs w:val="24"/>
        </w:rPr>
        <w:t xml:space="preserve">The applicable test is whether the foreign court possessed competence under the law of the state in which it functions, as well as competence in the international sense. Mere procedural irregularities, or objections to the foreign court’s internal exercise of jurisdiction, do not by themselves show want of competence in the international sense. </w:t>
      </w:r>
      <w:r>
        <w:rPr>
          <w:rFonts w:cs="Times New Roman"/>
          <w:szCs w:val="24"/>
        </w:rPr>
        <w:lastRenderedPageBreak/>
        <w:t>The competency in the international sense has been held to mean jurisdiction over the subject matter of the controversy and jurisdiction over the parties (</w:t>
      </w:r>
      <w:r>
        <w:rPr>
          <w:rFonts w:cs="Times New Roman"/>
          <w:b/>
          <w:bCs/>
          <w:i/>
          <w:iCs/>
          <w:szCs w:val="24"/>
        </w:rPr>
        <w:t>R. Viswanathan</w:t>
      </w:r>
      <w:r>
        <w:rPr>
          <w:rFonts w:cs="Times New Roman"/>
          <w:szCs w:val="24"/>
        </w:rPr>
        <w:t xml:space="preserve">, at [134]–[137]). More broadly, paragraphs [130]–[148] of R. Viswanathan address the competence of foreign courts in the international sense and are instructive on the scope of that inquiry. It does not extend to whether the foreign court’s exercise of that jurisdiction was correct as a matter of international law. </w:t>
      </w:r>
      <w:commentRangeStart w:id="6"/>
      <w:r>
        <w:rPr>
          <w:rFonts w:cs="Times New Roman"/>
          <w:szCs w:val="24"/>
        </w:rPr>
        <w:t xml:space="preserve"> The relevant question is only whether the foreign court’s assumption of jurisdiction is unacceptable in the international sense — not whether Indian law would have reached the same result.</w:t>
      </w:r>
      <w:commentRangeEnd w:id="6"/>
      <w:r>
        <w:rPr>
          <w:rStyle w:val="CommentReference"/>
          <w:rFonts w:cs="Times New Roman"/>
          <w:sz w:val="24"/>
          <w:szCs w:val="24"/>
        </w:rPr>
        <w:commentReference w:id="6"/>
      </w:r>
    </w:p>
    <w:p w14:paraId="72CE4C2B" w14:textId="473A9F00" w:rsidR="00CA0500" w:rsidRPr="00CA0500" w:rsidRDefault="006F1071" w:rsidP="006F1071">
      <w:pPr>
        <w:pStyle w:val="ListParagraph"/>
        <w:numPr>
          <w:ilvl w:val="0"/>
          <w:numId w:val="2"/>
        </w:numPr>
        <w:suppressAutoHyphens w:val="0"/>
        <w:spacing w:before="240" w:after="240"/>
        <w:contextualSpacing w:val="0"/>
        <w:rPr>
          <w:rFonts w:cs="Times New Roman"/>
          <w:szCs w:val="24"/>
        </w:rPr>
      </w:pPr>
      <w:r>
        <w:rPr>
          <w:rFonts w:cs="Times New Roman"/>
          <w:szCs w:val="24"/>
        </w:rPr>
        <w:t>The Impugned Order does not find that the Moscow Commercial Court lacked subject matter jurisdiction or personal jurisdiction over the Respondent. Instead, it records that the Respondent had raised serious objections that the Russian proceedings were founded on an incorrect view of international law. The Ld. Single Judge erroneously conflated the “</w:t>
      </w:r>
      <w:r>
        <w:rPr>
          <w:rFonts w:cs="Times New Roman"/>
          <w:i/>
          <w:iCs/>
          <w:szCs w:val="24"/>
        </w:rPr>
        <w:t>want of competence in the international sense</w:t>
      </w:r>
      <w:r>
        <w:rPr>
          <w:rFonts w:cs="Times New Roman"/>
          <w:szCs w:val="24"/>
        </w:rPr>
        <w:t xml:space="preserve">” test with alleged violations of international law. </w:t>
      </w:r>
    </w:p>
    <w:p w14:paraId="5D56AB89" w14:textId="1A65F6F4" w:rsidR="00BD6183" w:rsidRPr="00CA0500" w:rsidRDefault="00BD6183" w:rsidP="00165F2F">
      <w:pPr>
        <w:pStyle w:val="ListParagraph"/>
        <w:numPr>
          <w:ilvl w:val="0"/>
          <w:numId w:val="2"/>
        </w:numPr>
        <w:suppressAutoHyphens w:val="0"/>
        <w:spacing w:before="240" w:after="240"/>
        <w:contextualSpacing w:val="0"/>
        <w:rPr>
          <w:rFonts w:cs="Times New Roman"/>
          <w:szCs w:val="24"/>
        </w:rPr>
      </w:pPr>
      <w:r>
        <w:rPr>
          <w:rFonts w:cs="Times New Roman"/>
          <w:szCs w:val="24"/>
        </w:rPr>
        <w:t>Further, the question of the competence of a foreign court to deal with the matter according to the law of that country is for the courts of that country to determine. The foreign court’s decision on its own law and procedure must be regarded as conclusive, unless one of the statutory exceptions under Section 13 of the CPC is attracted (</w:t>
      </w:r>
      <w:r>
        <w:rPr>
          <w:rFonts w:cs="Times New Roman"/>
          <w:b/>
          <w:bCs/>
          <w:i/>
          <w:iCs/>
          <w:szCs w:val="24"/>
        </w:rPr>
        <w:t>Brijlal Ramjidas v Govindram Gordhandas Seksaria</w:t>
      </w:r>
      <w:r>
        <w:rPr>
          <w:rFonts w:cs="Times New Roman"/>
          <w:szCs w:val="24"/>
        </w:rPr>
        <w:t>, ILR 1947 Bom 563 (PC) (5 Judge Bench) at pp. 571–573).</w:t>
      </w:r>
    </w:p>
    <w:p w14:paraId="31F14C31" w14:textId="54BFA6E9" w:rsidR="00A9715C" w:rsidRDefault="00CA0500" w:rsidP="00165F2F">
      <w:pPr>
        <w:pStyle w:val="ListParagraph"/>
        <w:numPr>
          <w:ilvl w:val="0"/>
          <w:numId w:val="2"/>
        </w:numPr>
        <w:spacing w:before="240" w:after="240"/>
        <w:contextualSpacing w:val="0"/>
        <w:rPr>
          <w:rFonts w:cs="Times New Roman"/>
          <w:szCs w:val="24"/>
        </w:rPr>
      </w:pPr>
      <w:r>
        <w:rPr>
          <w:rFonts w:cs="Times New Roman"/>
          <w:szCs w:val="24"/>
        </w:rPr>
        <w:t xml:space="preserve">This restriction is, if anything, </w:t>
      </w:r>
      <w:r>
        <w:rPr>
          <w:rFonts w:cs="Times New Roman"/>
          <w:i/>
          <w:iCs/>
          <w:szCs w:val="24"/>
        </w:rPr>
        <w:t>a fortiori</w:t>
      </w:r>
      <w:r>
        <w:rPr>
          <w:rFonts w:cs="Times New Roman"/>
          <w:szCs w:val="24"/>
        </w:rPr>
        <w:t xml:space="preserve"> stronger at the interim stage than even at execution. The Supreme Court held in </w:t>
      </w:r>
      <w:r>
        <w:rPr>
          <w:rFonts w:cs="Times New Roman"/>
          <w:b/>
          <w:bCs/>
          <w:i/>
          <w:iCs/>
          <w:szCs w:val="24"/>
        </w:rPr>
        <w:t>Alcon Electronics Pvt. Ltd. v Celem S.A.</w:t>
      </w:r>
      <w:r>
        <w:rPr>
          <w:rFonts w:cs="Times New Roman"/>
          <w:szCs w:val="24"/>
        </w:rPr>
        <w:t>, (2017) 2 SCC 253 that “</w:t>
      </w:r>
      <w:r>
        <w:rPr>
          <w:rFonts w:cs="Times New Roman"/>
          <w:i/>
          <w:iCs/>
          <w:szCs w:val="24"/>
        </w:rPr>
        <w:t>the executing Court cannot enquire into the validity, legality or otherwise of the judgment... A foreign judgment which has become final and conclusive between the parties is not impeachable either on facts or law except on limited grounds enunciated under Section 13, CPC.</w:t>
      </w:r>
      <w:r>
        <w:rPr>
          <w:rFonts w:cs="Times New Roman"/>
          <w:szCs w:val="24"/>
        </w:rPr>
        <w:t xml:space="preserve">” (at [13]–[15]). </w:t>
      </w:r>
    </w:p>
    <w:p w14:paraId="0DBF43B8" w14:textId="135098EA" w:rsidR="00BD6183" w:rsidRDefault="00BD6183" w:rsidP="00165F2F">
      <w:pPr>
        <w:pStyle w:val="ListParagraph"/>
        <w:numPr>
          <w:ilvl w:val="0"/>
          <w:numId w:val="2"/>
        </w:numPr>
        <w:spacing w:before="240" w:after="240"/>
        <w:contextualSpacing w:val="0"/>
        <w:rPr>
          <w:rFonts w:cs="Times New Roman"/>
          <w:szCs w:val="24"/>
        </w:rPr>
      </w:pPr>
      <w:r>
        <w:rPr>
          <w:rFonts w:cs="Times New Roman"/>
          <w:szCs w:val="24"/>
        </w:rPr>
        <w:t>The Impugned Order purported to conduct its own “</w:t>
      </w:r>
      <w:r>
        <w:rPr>
          <w:rFonts w:cs="Times New Roman"/>
          <w:i/>
          <w:iCs/>
          <w:szCs w:val="24"/>
        </w:rPr>
        <w:t>prima facie examination</w:t>
      </w:r>
      <w:r>
        <w:rPr>
          <w:rFonts w:cs="Times New Roman"/>
          <w:szCs w:val="24"/>
        </w:rPr>
        <w:t>” of the Moscow Commercial Court’s jurisdictional competence at the interlocutory stage, without evidence, and merely on the Respondent’s submissions. This is a power even an executing court does not possess, and one that the Ld. Single Judge could not lawfully exercise.</w:t>
      </w:r>
    </w:p>
    <w:p w14:paraId="17088C7C" w14:textId="627614D5" w:rsidR="006F1071" w:rsidRPr="006F1071" w:rsidRDefault="006F1071" w:rsidP="006F1071">
      <w:pPr>
        <w:pStyle w:val="ListParagraph"/>
        <w:numPr>
          <w:ilvl w:val="0"/>
          <w:numId w:val="2"/>
        </w:numPr>
        <w:spacing w:before="240" w:after="240"/>
        <w:contextualSpacing w:val="0"/>
      </w:pPr>
      <w:r>
        <w:rPr>
          <w:rFonts w:cs="Times New Roman"/>
          <w:szCs w:val="24"/>
        </w:rPr>
        <w:t xml:space="preserve">The third error concerns natural justice. The Impugned Order treats the Respondent’s natural justice objection as a reason to test conclusiveness only at trial and to deny </w:t>
      </w:r>
      <w:r>
        <w:rPr>
          <w:rFonts w:cs="Times New Roman"/>
          <w:i/>
          <w:iCs/>
          <w:szCs w:val="24"/>
        </w:rPr>
        <w:t>prima facie</w:t>
      </w:r>
      <w:r>
        <w:rPr>
          <w:rFonts w:cs="Times New Roman"/>
          <w:szCs w:val="24"/>
        </w:rPr>
        <w:t xml:space="preserve"> effect at the interim stage. However, the Russian Appellate Judgment, which was on </w:t>
      </w:r>
      <w:r>
        <w:rPr>
          <w:rFonts w:cs="Times New Roman"/>
          <w:szCs w:val="24"/>
        </w:rPr>
        <w:lastRenderedPageBreak/>
        <w:t>record before the Ld. Single Judge, directly considered the Respondent’s procedural objections and rejected them.</w:t>
      </w:r>
    </w:p>
    <w:p w14:paraId="559520B9" w14:textId="387A98C6" w:rsidR="00AD1470" w:rsidRDefault="006F1071" w:rsidP="006F1071">
      <w:pPr>
        <w:pStyle w:val="ListParagraph"/>
        <w:numPr>
          <w:ilvl w:val="0"/>
          <w:numId w:val="2"/>
        </w:numPr>
        <w:spacing w:before="240" w:after="240"/>
        <w:contextualSpacing w:val="0"/>
      </w:pPr>
      <w:r>
        <w:rPr>
          <w:rFonts w:cs="Times New Roman"/>
          <w:szCs w:val="24"/>
        </w:rPr>
        <w:t>In particular, the Russian Appellate Judgment records:</w:t>
      </w:r>
    </w:p>
    <w:p w14:paraId="55153C69" w14:textId="06267C14" w:rsidR="00AD1470" w:rsidRPr="00B65844" w:rsidRDefault="00AD0BBD" w:rsidP="00AD1470">
      <w:pPr>
        <w:pStyle w:val="ListParagraph"/>
        <w:numPr>
          <w:ilvl w:val="1"/>
          <w:numId w:val="2"/>
        </w:numPr>
        <w:spacing w:before="240" w:after="240"/>
        <w:contextualSpacing w:val="0"/>
      </w:pPr>
      <w:r>
        <w:t>The Moscow Commercial Court correctly refused the Respondent’s motion for appointment of a forensic expert, “</w:t>
      </w:r>
      <w:r>
        <w:rPr>
          <w:i/>
          <w:iCs/>
        </w:rPr>
        <w:t>Also, the court of first instance rightfully rejected the motion to appoint a forensic inquiry, because this motion was not timely filed, without depositing funds in the deposit account of the arbitration court. This circumstance, contrary to the arguments of the defendants, is an independent ground for rejection of the motion to appoint a forensic inquiry in the case</w:t>
      </w:r>
      <w:r>
        <w:t xml:space="preserve">” </w:t>
      </w:r>
      <w:r>
        <w:rPr>
          <w:rFonts w:cs="Times New Roman"/>
          <w:szCs w:val="24"/>
        </w:rPr>
        <w:t>(</w:t>
      </w:r>
      <w:r>
        <w:rPr>
          <w:rFonts w:cs="Times New Roman"/>
          <w:b/>
          <w:bCs/>
          <w:szCs w:val="24"/>
        </w:rPr>
        <w:t>Russian Appellate Judgment</w:t>
      </w:r>
      <w:r>
        <w:rPr>
          <w:rFonts w:cs="Times New Roman"/>
          <w:szCs w:val="24"/>
        </w:rPr>
        <w:t xml:space="preserve"> in Ex. G at p. 2809).</w:t>
      </w:r>
    </w:p>
    <w:p w14:paraId="05C5771E" w14:textId="77777777" w:rsidR="00762D3A" w:rsidRPr="00B65844" w:rsidRDefault="00762D3A" w:rsidP="00762D3A">
      <w:pPr>
        <w:pStyle w:val="ListParagraph"/>
        <w:numPr>
          <w:ilvl w:val="1"/>
          <w:numId w:val="2"/>
        </w:numPr>
        <w:spacing w:before="240" w:after="240"/>
        <w:contextualSpacing w:val="0"/>
      </w:pPr>
      <w:r>
        <w:rPr>
          <w:rFonts w:cs="Times New Roman"/>
          <w:szCs w:val="24"/>
        </w:rPr>
        <w:t>Moscow Commercial Court correctly rejected the Respondent’s to place its response on record and its application to adduce additional evidence in appeal, recording that “</w:t>
      </w:r>
      <w:r>
        <w:rPr>
          <w:rFonts w:cs="Times New Roman"/>
          <w:i/>
          <w:iCs/>
          <w:szCs w:val="24"/>
        </w:rPr>
        <w:t>The court of first instance rightfully rejected to place the response and the documents attached thereto to the case file. It follows from the audio recording of the court hearing that at the stage of application of motions the defendants stated that they did not have any motions concerning the need to place in the case the response to the claim and evidence.….the court of first instance rightfully refused to place the response and the documents attached with reference to the abuse of procedural rights in order to delay the consideration of the case on the merits….the entities participating in the case bear the risk of failure to perform procedural actions.</w:t>
      </w:r>
      <w:r>
        <w:rPr>
          <w:rFonts w:cs="Times New Roman"/>
          <w:szCs w:val="24"/>
        </w:rPr>
        <w:t>” (</w:t>
      </w:r>
      <w:r>
        <w:rPr>
          <w:rFonts w:cs="Times New Roman"/>
          <w:b/>
          <w:bCs/>
          <w:szCs w:val="24"/>
        </w:rPr>
        <w:t>Russian Appellate Judgment</w:t>
      </w:r>
      <w:r>
        <w:rPr>
          <w:rFonts w:cs="Times New Roman"/>
          <w:szCs w:val="24"/>
        </w:rPr>
        <w:t xml:space="preserve"> in Ex. G at p. 2810). </w:t>
      </w:r>
    </w:p>
    <w:p w14:paraId="29F34F9F" w14:textId="77777777" w:rsidR="008C56A2" w:rsidRPr="00B65844" w:rsidRDefault="00762D3A" w:rsidP="008C56A2">
      <w:pPr>
        <w:pStyle w:val="ListParagraph"/>
        <w:numPr>
          <w:ilvl w:val="1"/>
          <w:numId w:val="2"/>
        </w:numPr>
        <w:spacing w:before="240" w:after="240"/>
        <w:contextualSpacing w:val="0"/>
      </w:pPr>
      <w:r>
        <w:rPr>
          <w:rFonts w:cs="Times New Roman"/>
          <w:szCs w:val="24"/>
        </w:rPr>
        <w:t>Russian Appellate Judgment affirmed that there were no procedural grounds for the Moscow Commercial Court to grant the Respondent’s application for adjourning the proceedings pending ICC Arbitration proceedings, “</w:t>
      </w:r>
      <w:r>
        <w:rPr>
          <w:rFonts w:cs="Times New Roman"/>
          <w:i/>
          <w:iCs/>
          <w:szCs w:val="24"/>
        </w:rPr>
        <w:t>The court of appeal also finds no procedural grounds to suspend the proceedings in this case pending consideration by the Arbitration Court of the North-Western Federal District of the cassation appeals in cases No. A56-98477/2025 and No. A56-98479/2025, as there is no impossibility of hearing the present case before the said cases.</w:t>
      </w:r>
      <w:r>
        <w:rPr>
          <w:rFonts w:cs="Times New Roman"/>
          <w:szCs w:val="24"/>
        </w:rPr>
        <w:t>” (</w:t>
      </w:r>
      <w:r>
        <w:rPr>
          <w:rFonts w:cs="Times New Roman"/>
          <w:b/>
          <w:bCs/>
          <w:szCs w:val="24"/>
        </w:rPr>
        <w:t>Russian Appellate Judgment</w:t>
      </w:r>
      <w:r>
        <w:rPr>
          <w:rFonts w:cs="Times New Roman"/>
          <w:szCs w:val="24"/>
        </w:rPr>
        <w:t xml:space="preserve"> in Ex. G at p. 2811). </w:t>
      </w:r>
    </w:p>
    <w:p w14:paraId="7220052D" w14:textId="77777777" w:rsidR="008C56A2" w:rsidRPr="008C56A2" w:rsidRDefault="006F1071" w:rsidP="008C56A2">
      <w:pPr>
        <w:pStyle w:val="ListParagraph"/>
        <w:numPr>
          <w:ilvl w:val="0"/>
          <w:numId w:val="2"/>
        </w:numPr>
        <w:spacing w:before="240" w:after="240"/>
        <w:contextualSpacing w:val="0"/>
      </w:pPr>
      <w:r>
        <w:rPr>
          <w:rFonts w:cs="Times New Roman"/>
          <w:szCs w:val="24"/>
        </w:rPr>
        <w:t xml:space="preserve">Therefore, breach of natural justice did not appear from the Russian Judgment or the Russian Appellate Judgment. On the contrary, the appellate record shows that the </w:t>
      </w:r>
      <w:r>
        <w:rPr>
          <w:rFonts w:cs="Times New Roman"/>
          <w:szCs w:val="24"/>
        </w:rPr>
        <w:lastRenderedPageBreak/>
        <w:t>Respondent participated in the Russian proceedings, raised procedural objections, pursued an appeal, and had those objections considered and partially rejected. If the Respondent seeks to prove a natural justice exception under Section 13(d), it may do so at trial. But the mere assertion of that objection could not deprive the Russian Judgment of statutory prima facie effect at the interim stage.</w:t>
      </w:r>
    </w:p>
    <w:p w14:paraId="67F74125" w14:textId="3DC87AD7" w:rsidR="00AD1470" w:rsidRPr="008C56A2" w:rsidRDefault="006F1071" w:rsidP="008C56A2">
      <w:pPr>
        <w:pStyle w:val="ListParagraph"/>
        <w:numPr>
          <w:ilvl w:val="0"/>
          <w:numId w:val="2"/>
        </w:numPr>
        <w:spacing w:before="240" w:after="240"/>
        <w:contextualSpacing w:val="0"/>
      </w:pPr>
      <w:r>
        <w:rPr>
          <w:rFonts w:cs="Times New Roman"/>
          <w:szCs w:val="24"/>
        </w:rPr>
        <w:t>Applying the correct test, the face of the record did not displace the statutory presumptions under Sections 13 and 14 of the CPC. The Russian Judgment and Russian Appellate Judgment answered competence; the alleged incorrect view of international law was not want of competence in the international sense; and the natural justice objection was not apparent from the Russian record. The Respondent’s objections were, at the highest, matters for proof. They were not a basis to refuse interim protection.</w:t>
      </w:r>
    </w:p>
    <w:p w14:paraId="49948A7F" w14:textId="6959C96A" w:rsidR="00AC31BA" w:rsidRPr="00F215D9" w:rsidRDefault="00D52741" w:rsidP="00165F2F">
      <w:pPr>
        <w:pStyle w:val="Heading2"/>
        <w:spacing w:after="240"/>
        <w:rPr>
          <w:rFonts w:cs="Times New Roman"/>
          <w:color w:val="FF0000"/>
          <w:szCs w:val="24"/>
        </w:rPr>
      </w:pPr>
      <w:r>
        <w:rPr>
          <w:rFonts w:cs="Times New Roman"/>
          <w:szCs w:val="24"/>
        </w:rPr>
        <w:t xml:space="preserve">In any event, the Impugned Order is independently erroneous </w:t>
      </w:r>
    </w:p>
    <w:p w14:paraId="41060CAA" w14:textId="66ABC33C" w:rsidR="00A9715C" w:rsidRDefault="00A9715C" w:rsidP="00165F2F">
      <w:pPr>
        <w:pStyle w:val="ListParagraph"/>
        <w:numPr>
          <w:ilvl w:val="0"/>
          <w:numId w:val="2"/>
        </w:numPr>
        <w:spacing w:before="240" w:after="240"/>
        <w:contextualSpacing w:val="0"/>
        <w:rPr>
          <w:rFonts w:cs="Times New Roman"/>
          <w:szCs w:val="24"/>
        </w:rPr>
      </w:pPr>
      <w:r>
        <w:rPr>
          <w:rFonts w:cs="Times New Roman"/>
          <w:szCs w:val="24"/>
        </w:rPr>
        <w:t>Even if the Ld. Single Judge was empowered to weigh the Appellant’s conduct, beyond the mere record of the Russian Judgment, the conclusion that the Moscow Commercial Court’s competence was “doubtful” does not survive scrutiny on the facts.</w:t>
      </w:r>
    </w:p>
    <w:p w14:paraId="14B29663" w14:textId="60E8E465" w:rsidR="00AC31BA" w:rsidRPr="00BA1EB9" w:rsidRDefault="00D26548" w:rsidP="00165F2F">
      <w:pPr>
        <w:pStyle w:val="ListParagraph"/>
        <w:numPr>
          <w:ilvl w:val="0"/>
          <w:numId w:val="2"/>
        </w:numPr>
        <w:spacing w:before="240" w:after="240"/>
        <w:contextualSpacing w:val="0"/>
        <w:rPr>
          <w:rFonts w:cs="Times New Roman"/>
          <w:szCs w:val="24"/>
        </w:rPr>
      </w:pPr>
      <w:r>
        <w:rPr>
          <w:rFonts w:cs="Times New Roman"/>
          <w:szCs w:val="24"/>
        </w:rPr>
        <w:t>Paragraph 35, the Impugned Order holds: “</w:t>
      </w:r>
      <w:r>
        <w:rPr>
          <w:rFonts w:cs="Times New Roman"/>
          <w:i/>
          <w:iCs/>
          <w:szCs w:val="24"/>
        </w:rPr>
        <w:t>the competence of the Russian court in entertaining the [Appellant’s] claim is doubtful</w:t>
      </w:r>
      <w:r>
        <w:rPr>
          <w:rFonts w:cs="Times New Roman"/>
          <w:szCs w:val="24"/>
        </w:rPr>
        <w:t>” in view of the arbitration agreement. Four facts, each independently fatal to that conclusion, were not addressed by the Ld. Single Judge:</w:t>
      </w:r>
    </w:p>
    <w:p w14:paraId="7BE94318" w14:textId="1E124286" w:rsidR="004F1308" w:rsidRDefault="00055775" w:rsidP="00165F2F">
      <w:pPr>
        <w:pStyle w:val="ListParagraph"/>
        <w:numPr>
          <w:ilvl w:val="1"/>
          <w:numId w:val="2"/>
        </w:numPr>
        <w:spacing w:before="240" w:after="240"/>
        <w:contextualSpacing w:val="0"/>
        <w:rPr>
          <w:rFonts w:cs="Times New Roman"/>
          <w:szCs w:val="24"/>
        </w:rPr>
      </w:pPr>
      <w:r>
        <w:rPr>
          <w:rFonts w:cs="Times New Roman"/>
          <w:szCs w:val="24"/>
          <w:u w:val="single"/>
        </w:rPr>
        <w:t>Participation on merits</w:t>
      </w:r>
      <w:r>
        <w:rPr>
          <w:rFonts w:cs="Times New Roman"/>
          <w:szCs w:val="24"/>
        </w:rPr>
        <w:t>: The Respondent never invoked the arbitration objection before the Moscow Commercial Court itself, under Article 148.1 of the APC RF.</w:t>
      </w:r>
      <w:commentRangeStart w:id="7"/>
      <w:r>
        <w:rPr>
          <w:rFonts w:cs="Times New Roman"/>
          <w:szCs w:val="24"/>
        </w:rPr>
        <w:t xml:space="preserve"> Article 148 of the APC RF is the mechanism by which a party invokes such an objection: it permits a party to seek dismissal of a claim where the contract contains an arbitration clause, at the prescribed stage — a provision comparable in function to Section 8 of the Arbitration and Conciliation Act, 1996 and Order VII Rule 11 of the CPC. As confirmed by paragraphs 6–7 of the Expert Report of Mr Vladimir Melnikov (Appeal Memo at pp. 2382–2391), the Respondent — unlike MTR — never filed any such application.</w:t>
      </w:r>
      <w:commentRangeEnd w:id="7"/>
      <w:r>
        <w:rPr>
          <w:rStyle w:val="CommentReference"/>
          <w:rFonts w:cs="Times New Roman"/>
          <w:sz w:val="24"/>
          <w:szCs w:val="24"/>
        </w:rPr>
        <w:commentReference w:id="7"/>
      </w:r>
      <w:r>
        <w:rPr>
          <w:rFonts w:cs="Times New Roman"/>
          <w:szCs w:val="24"/>
        </w:rPr>
        <w:t xml:space="preserve"> Instead, the Respondent participated on the merits and addressed arguments before the Moscow Commercial Court. Under Indian law, a party which purports to contest jurisdiction but nevertheless proceeds to plead on the merits thereafter has been held to have submitted to the jurisdiction (</w:t>
      </w:r>
      <w:r>
        <w:rPr>
          <w:rFonts w:cs="Times New Roman"/>
          <w:b/>
          <w:bCs/>
          <w:i/>
          <w:iCs/>
          <w:szCs w:val="24"/>
        </w:rPr>
        <w:t xml:space="preserve">V. Subramania Iyer v </w:t>
      </w:r>
      <w:r>
        <w:rPr>
          <w:rFonts w:cs="Times New Roman"/>
          <w:b/>
          <w:bCs/>
          <w:i/>
          <w:iCs/>
          <w:szCs w:val="24"/>
        </w:rPr>
        <w:lastRenderedPageBreak/>
        <w:t>S.C. Annasami Iyer</w:t>
      </w:r>
      <w:r>
        <w:rPr>
          <w:rFonts w:cs="Times New Roman"/>
          <w:szCs w:val="24"/>
        </w:rPr>
        <w:t>, 1947 SCC OnLine Mad 17 (Madras HC) (SJB) at pp. 578–579). Likewise, where a party does not raise the arbitration objection as the first step in the manner required by procedure, it may be treated as having submitted to jurisdiction (</w:t>
      </w:r>
      <w:r>
        <w:rPr>
          <w:rFonts w:cs="Times New Roman"/>
          <w:b/>
          <w:bCs/>
          <w:i/>
          <w:iCs/>
          <w:szCs w:val="24"/>
        </w:rPr>
        <w:t>R.R. Enterprises v CMD, Garware-Wall Ropes Ltd.</w:t>
      </w:r>
      <w:r>
        <w:rPr>
          <w:rFonts w:cs="Times New Roman"/>
          <w:szCs w:val="24"/>
        </w:rPr>
        <w:t>, ILR (2013) I Delhi 248 (DHC) (SJB) at [5]–[6]).</w:t>
      </w:r>
    </w:p>
    <w:p w14:paraId="0D6D2B99" w14:textId="3EAD0E09" w:rsidR="00AC31BA" w:rsidRPr="004F1308" w:rsidRDefault="00055775" w:rsidP="00165F2F">
      <w:pPr>
        <w:pStyle w:val="ListParagraph"/>
        <w:numPr>
          <w:ilvl w:val="1"/>
          <w:numId w:val="2"/>
        </w:numPr>
        <w:spacing w:before="240" w:after="240"/>
        <w:contextualSpacing w:val="0"/>
        <w:rPr>
          <w:rFonts w:cs="Times New Roman"/>
          <w:szCs w:val="24"/>
        </w:rPr>
      </w:pPr>
      <w:r>
        <w:rPr>
          <w:rFonts w:cs="Times New Roman"/>
          <w:szCs w:val="24"/>
          <w:u w:val="single"/>
        </w:rPr>
        <w:t>Benefit under the Russian Judgment</w:t>
      </w:r>
      <w:r>
        <w:rPr>
          <w:rFonts w:cs="Times New Roman"/>
          <w:szCs w:val="24"/>
        </w:rPr>
        <w:t>: The Respondent made arguments in the Moscow Commercial Court proceedings, which led to a reduction in the portion of claims granted to the Appellant (</w:t>
      </w:r>
      <w:r>
        <w:rPr>
          <w:rFonts w:cs="Times New Roman"/>
          <w:b/>
          <w:bCs/>
          <w:szCs w:val="24"/>
        </w:rPr>
        <w:t>Russian Judgment</w:t>
      </w:r>
      <w:r>
        <w:rPr>
          <w:rFonts w:cs="Times New Roman"/>
          <w:szCs w:val="24"/>
        </w:rPr>
        <w:t xml:space="preserve"> in Ex. D at p. 2250). The Respondent engaged on the merits and benefited from the judgment. It cannot now impugn the very court’s jurisdiction before this Court. </w:t>
      </w:r>
    </w:p>
    <w:p w14:paraId="78ACF902" w14:textId="5773224B" w:rsidR="00AC31BA" w:rsidRPr="00BA1EB9" w:rsidRDefault="00055775" w:rsidP="00165F2F">
      <w:pPr>
        <w:pStyle w:val="ListParagraph"/>
        <w:numPr>
          <w:ilvl w:val="1"/>
          <w:numId w:val="2"/>
        </w:numPr>
        <w:spacing w:before="240" w:after="240"/>
        <w:contextualSpacing w:val="0"/>
        <w:rPr>
          <w:rFonts w:cs="Times New Roman"/>
          <w:szCs w:val="24"/>
        </w:rPr>
      </w:pPr>
      <w:r>
        <w:rPr>
          <w:rFonts w:cs="Times New Roman"/>
          <w:szCs w:val="24"/>
          <w:u w:val="single"/>
        </w:rPr>
        <w:t>Appellant’s participation in arbitration is immaterial</w:t>
      </w:r>
      <w:r>
        <w:rPr>
          <w:rFonts w:cs="Times New Roman"/>
          <w:szCs w:val="24"/>
        </w:rPr>
        <w:t>: The Appellant’s participation in the ICC arbitration did not answer the Section 14 presumption. The Appellant's case was that recourse to Article 248.1 became available after the Bright Judgment dated 31 July 2025, which confirmed the impact of EU sanctions on the Appellant and the K2 Project. The Appellant thereafter filed the Moscow claim on 1 September 2025 and raised its jurisdictional objection in the ICC arbitration on 25 November 2025 (</w:t>
      </w:r>
      <w:r>
        <w:rPr>
          <w:rFonts w:cs="Times New Roman"/>
          <w:b/>
          <w:bCs/>
          <w:szCs w:val="24"/>
        </w:rPr>
        <w:t>Application to Challenge Jurisdiction</w:t>
      </w:r>
      <w:r>
        <w:rPr>
          <w:rFonts w:cs="Times New Roman"/>
          <w:szCs w:val="24"/>
        </w:rPr>
        <w:t xml:space="preserve"> in Ex. C at p. 1571). In any event, even under Indian law and English law, courts recognise that an arbitration agreement need not be enforced where access to justice is obstructed, including for political, racial, religious, or other reasons making it unlikely that a party will obtain a fair trial (</w:t>
      </w:r>
      <w:r>
        <w:rPr>
          <w:rFonts w:cs="Times New Roman"/>
          <w:b/>
          <w:bCs/>
          <w:i/>
          <w:iCs/>
          <w:szCs w:val="24"/>
        </w:rPr>
        <w:t>Ramji Dayawala &amp; Sons (P) Ltd. v Invest Import</w:t>
      </w:r>
      <w:r>
        <w:rPr>
          <w:rFonts w:cs="Times New Roman"/>
          <w:szCs w:val="24"/>
        </w:rPr>
        <w:t xml:space="preserve">, (1981) 1 SCC 80 (SC) (DB) at [26]–[29] V/O Tractoroexport, Moscow v Tarapore &amp; Co., (1969) 3 SCC 562 (SC) (DB) at [28]–[29] is to the same effect: the Supreme Court declined to stay Indian proceedings pending Moscow arbitration because foreign exchange restrictions made participation in the foreign arbitration virtually impossible for the Indian party. Indian courts thus recognised that practical inaccessibility of the agreed forum is a valid basis for declining to give effect to an arbitration clause — a principle that Article 248.1 of the APC RF codifies in the context of sanctions and restrictive measures. The Russian courts did not assume jurisdiction contrary to the arbitration clauses; it was precisely because of the hardships caused by EU sanctions in participating in the ICC arbitration that Article 248.1 was engaged. The existence of the arbitration agreement was therefore the basis for applying Article 248.1, not a ground for doubting Russian jurisdiction. The Ld. </w:t>
      </w:r>
      <w:r>
        <w:rPr>
          <w:rFonts w:cs="Times New Roman"/>
          <w:szCs w:val="24"/>
        </w:rPr>
        <w:lastRenderedPageBreak/>
        <w:t xml:space="preserve">Single Judge, by treating the arbitration clause as a reason to question the Russian court’s competence, turned the issue on its head.). This jurisdictional challenge was before the Ld. Single Judge for consideration and was specifically read out by the Appellant’s counsel during oral submissions. The Impugned Order only considers the Appellant’s participation in ICC Arbitration, while completely disregarding the Appellant’s jurisdictional challenge in the same. </w:t>
      </w:r>
    </w:p>
    <w:p w14:paraId="2CDCF5B6" w14:textId="6D55EEF5" w:rsidR="0040732E" w:rsidRDefault="00D52741" w:rsidP="00165F2F">
      <w:pPr>
        <w:pStyle w:val="ListParagraph"/>
        <w:numPr>
          <w:ilvl w:val="1"/>
          <w:numId w:val="2"/>
        </w:numPr>
        <w:spacing w:before="240" w:after="240"/>
        <w:contextualSpacing w:val="0"/>
        <w:rPr>
          <w:rFonts w:cs="Times New Roman"/>
          <w:szCs w:val="24"/>
        </w:rPr>
      </w:pPr>
      <w:r>
        <w:rPr>
          <w:rFonts w:cs="Times New Roman"/>
          <w:szCs w:val="24"/>
        </w:rPr>
        <w:t xml:space="preserve">Separately, and independently of the Appellant’s own conduct, the St Petersburg Court granted a permanent anti-arbitration injunction restraining the Respondent from continuing the ICC arbitration and related foreign proceedings, including the proceedings in England, arising out of the K2 Agreements. The Respondent does not address the existence or effect of that judgment, which is capable of independent recognition in India. </w:t>
      </w:r>
      <w:r>
        <w:rPr>
          <w:rFonts w:cs="Times New Roman"/>
          <w:szCs w:val="28"/>
        </w:rPr>
        <w:t>(</w:t>
      </w:r>
      <w:r>
        <w:rPr>
          <w:rFonts w:cs="Times New Roman"/>
          <w:b/>
          <w:bCs/>
          <w:szCs w:val="28"/>
        </w:rPr>
        <w:t>St Petersburg Judgment</w:t>
      </w:r>
      <w:r>
        <w:rPr>
          <w:rFonts w:cs="Times New Roman"/>
          <w:szCs w:val="28"/>
        </w:rPr>
        <w:t xml:space="preserve"> in Ex. C at pp. 1326-1327).</w:t>
      </w:r>
    </w:p>
    <w:p w14:paraId="7208DBCE" w14:textId="1B0536F2" w:rsidR="0040732E" w:rsidRDefault="00D52741" w:rsidP="00165F2F">
      <w:pPr>
        <w:pStyle w:val="ListParagraph"/>
        <w:numPr>
          <w:ilvl w:val="0"/>
          <w:numId w:val="2"/>
        </w:numPr>
        <w:spacing w:before="240" w:after="240"/>
        <w:contextualSpacing w:val="0"/>
        <w:rPr>
          <w:rFonts w:cs="Times New Roman"/>
          <w:szCs w:val="24"/>
        </w:rPr>
      </w:pPr>
      <w:r>
        <w:rPr>
          <w:rFonts w:cs="Times New Roman"/>
          <w:szCs w:val="24"/>
        </w:rPr>
        <w:t>The Respondent’s reliance on the ICC Arbitration proceedings and the English anti-suit position was, in any event, immaterial at the pre-trial stage. These submissions, at their highest, could be considered at the stage of trial.</w:t>
      </w:r>
    </w:p>
    <w:p w14:paraId="6EE9526F" w14:textId="68AD946F" w:rsidR="00AC31BA" w:rsidRPr="00BA1EB9" w:rsidRDefault="00D52741" w:rsidP="00165F2F">
      <w:pPr>
        <w:pStyle w:val="ListParagraph"/>
        <w:numPr>
          <w:ilvl w:val="0"/>
          <w:numId w:val="2"/>
        </w:numPr>
        <w:spacing w:before="240" w:after="240"/>
        <w:contextualSpacing w:val="0"/>
        <w:rPr>
          <w:rFonts w:cs="Times New Roman"/>
          <w:szCs w:val="24"/>
        </w:rPr>
      </w:pPr>
      <w:r>
        <w:rPr>
          <w:rFonts w:cs="Times New Roman"/>
          <w:szCs w:val="24"/>
        </w:rPr>
        <w:t>The Impugned Order addresses none of the above facts. Its finding of “doubt” rests on the existence of the arbitration agreement and the pending ICC proceedings alone, without engaging the record that answers them. This shows complete non-application of mind, independent of the legal errors set out in the previous sub-grounds.</w:t>
      </w:r>
    </w:p>
    <w:p w14:paraId="080C559A" w14:textId="08C10616" w:rsidR="00AC31BA" w:rsidRPr="00BA1EB9" w:rsidRDefault="00FF0F77" w:rsidP="00165F2F">
      <w:pPr>
        <w:pStyle w:val="Heading1"/>
        <w:spacing w:after="240"/>
        <w:rPr>
          <w:rFonts w:cs="Times New Roman"/>
          <w:szCs w:val="24"/>
        </w:rPr>
      </w:pPr>
      <w:bookmarkStart w:id="8" w:name="_Toc233227853"/>
      <w:bookmarkStart w:id="9" w:name="_Toc233118641"/>
      <w:bookmarkStart w:id="10" w:name="_Toc233108394"/>
      <w:bookmarkStart w:id="11" w:name="_Toc233561953"/>
      <w:r>
        <w:rPr>
          <w:rFonts w:cs="Times New Roman"/>
          <w:szCs w:val="24"/>
        </w:rPr>
        <w:t>THE FINDING OF SUPPRESSION AND NON-DISCLOSURE IS LEGALLY AND FACTUALLY UNSUSTAINABLE</w:t>
      </w:r>
      <w:bookmarkEnd w:id="8"/>
      <w:bookmarkEnd w:id="9"/>
      <w:bookmarkEnd w:id="10"/>
      <w:bookmarkEnd w:id="11"/>
    </w:p>
    <w:p w14:paraId="5C3CB05D" w14:textId="4B729CCC" w:rsidR="00AC31BA" w:rsidRDefault="00F20253" w:rsidP="00165F2F">
      <w:pPr>
        <w:pStyle w:val="ListParagraph"/>
        <w:numPr>
          <w:ilvl w:val="0"/>
          <w:numId w:val="2"/>
        </w:numPr>
        <w:spacing w:before="240" w:after="240"/>
        <w:contextualSpacing w:val="0"/>
        <w:rPr>
          <w:rFonts w:cs="Times New Roman"/>
          <w:szCs w:val="24"/>
        </w:rPr>
      </w:pPr>
      <w:r>
        <w:rPr>
          <w:rFonts w:cs="Times New Roman"/>
          <w:szCs w:val="24"/>
        </w:rPr>
        <w:t>At paragraph 29 of the Impugned Order, the Ld. Single Judge records the Respondent’s submission that the Appellant had suppressed facts concerning the anti-suit injunction granted by the English Court. The alleged “conduct” is then identified at paragraph 36, where the Impugned Order holds that “</w:t>
      </w:r>
      <w:r>
        <w:rPr>
          <w:rFonts w:cs="Times New Roman"/>
          <w:i/>
          <w:iCs/>
          <w:szCs w:val="24"/>
        </w:rPr>
        <w:t>the defendant has produced sufficient material to show that the orders passed by the English court were not produced on record by the plaintiff</w:t>
      </w:r>
      <w:r>
        <w:rPr>
          <w:rFonts w:cs="Times New Roman"/>
          <w:szCs w:val="24"/>
        </w:rPr>
        <w:t>”, and on that basis concludes that “</w:t>
      </w:r>
      <w:r>
        <w:rPr>
          <w:rFonts w:cs="Times New Roman"/>
          <w:i/>
          <w:iCs/>
          <w:szCs w:val="24"/>
        </w:rPr>
        <w:t>on the ground of the plaintiff’s conduct, there is no reason to grant a discretionary relief of injunction</w:t>
      </w:r>
      <w:r>
        <w:rPr>
          <w:rFonts w:cs="Times New Roman"/>
          <w:szCs w:val="24"/>
        </w:rPr>
        <w:t xml:space="preserve">”. </w:t>
      </w:r>
    </w:p>
    <w:p w14:paraId="2B7E417E" w14:textId="339BE701" w:rsidR="002B09F9" w:rsidRDefault="00DB1CE3" w:rsidP="002B09F9">
      <w:pPr>
        <w:pStyle w:val="ListParagraph"/>
        <w:numPr>
          <w:ilvl w:val="0"/>
          <w:numId w:val="2"/>
        </w:numPr>
        <w:spacing w:before="240" w:after="240"/>
        <w:contextualSpacing w:val="0"/>
        <w:rPr>
          <w:rFonts w:cs="Times New Roman"/>
          <w:szCs w:val="24"/>
        </w:rPr>
      </w:pPr>
      <w:r>
        <w:rPr>
          <w:rFonts w:cs="Times New Roman"/>
          <w:b/>
          <w:bCs/>
          <w:szCs w:val="24"/>
        </w:rPr>
        <w:t>First</w:t>
      </w:r>
      <w:r>
        <w:rPr>
          <w:rFonts w:cs="Times New Roman"/>
          <w:szCs w:val="24"/>
        </w:rPr>
        <w:t xml:space="preserve">, with respect, there was no suppression of material facts. The Suit is founded on a foreign judgment under Section 13 of the CPC. The Appellant discharged its statutory </w:t>
      </w:r>
      <w:r>
        <w:rPr>
          <w:rFonts w:cs="Times New Roman"/>
          <w:szCs w:val="24"/>
        </w:rPr>
        <w:lastRenderedPageBreak/>
        <w:t xml:space="preserve">burden by producing a certified copy of the Russian Judgment. Separately, in keeping with its document disclosure obligations in a commercial suit, the Appellant also placed on record the certified and translated record of the Russian proceedings as Schedule I comprising approximately 20,000 pages. Due to the volume of the documents and the time taken to translate them, the Ld. Single Judge expressly granted the Appellant leave to produce them by 21 January 2026 </w:t>
      </w:r>
      <w:r>
        <w:rPr>
          <w:rFonts w:cs="Times New Roman"/>
          <w:i/>
          <w:iCs/>
          <w:szCs w:val="24"/>
        </w:rPr>
        <w:t xml:space="preserve">vide </w:t>
      </w:r>
      <w:r>
        <w:rPr>
          <w:rFonts w:cs="Times New Roman"/>
          <w:szCs w:val="24"/>
        </w:rPr>
        <w:t xml:space="preserve">order dated 20 January 2026. The Appellant’s case was therefore not presented on a selective or incomplete record. </w:t>
      </w:r>
    </w:p>
    <w:p w14:paraId="3ED51863" w14:textId="4DC1A560" w:rsidR="005E7E57" w:rsidRDefault="002B09F9" w:rsidP="002B09F9">
      <w:pPr>
        <w:pStyle w:val="ListParagraph"/>
        <w:numPr>
          <w:ilvl w:val="0"/>
          <w:numId w:val="2"/>
        </w:numPr>
        <w:spacing w:before="240" w:after="240"/>
        <w:contextualSpacing w:val="0"/>
        <w:rPr>
          <w:rFonts w:cs="Times New Roman"/>
          <w:szCs w:val="24"/>
        </w:rPr>
      </w:pPr>
      <w:r>
        <w:rPr>
          <w:rFonts w:cs="Times New Roman"/>
          <w:szCs w:val="24"/>
        </w:rPr>
        <w:t>The Russian Judgment itself set out the facts material to the Moscow Commercial Court’s jurisdiction, including the arbitration clauses, the ICC arbitration, the English proceedings, the EU sanctions, and Article 248.1 of the APC RF. To the extent the Ld. Single Judge required assistance in understanding Article 248.1 and the Russian law context, the Appellant also filed an expert report for the Court’s benefit (</w:t>
      </w:r>
      <w:r>
        <w:rPr>
          <w:rFonts w:cs="Times New Roman"/>
          <w:b/>
          <w:bCs/>
          <w:szCs w:val="24"/>
        </w:rPr>
        <w:t>Expert Report of Vladimir Melinikov</w:t>
      </w:r>
      <w:r>
        <w:rPr>
          <w:rFonts w:cs="Times New Roman"/>
          <w:szCs w:val="24"/>
        </w:rPr>
        <w:t xml:space="preserve"> in Ex. D at p. 2365).</w:t>
      </w:r>
    </w:p>
    <w:p w14:paraId="7DC36D2D" w14:textId="77777777" w:rsidR="00345DA0" w:rsidRDefault="002B09F9" w:rsidP="00D60D21">
      <w:pPr>
        <w:pStyle w:val="ListParagraph"/>
        <w:numPr>
          <w:ilvl w:val="0"/>
          <w:numId w:val="2"/>
        </w:numPr>
        <w:spacing w:before="240" w:after="240"/>
        <w:contextualSpacing w:val="0"/>
        <w:rPr>
          <w:rFonts w:cs="Times New Roman"/>
          <w:szCs w:val="24"/>
        </w:rPr>
      </w:pPr>
      <w:r>
        <w:rPr>
          <w:rFonts w:cs="Times New Roman"/>
          <w:szCs w:val="24"/>
        </w:rPr>
        <w:t xml:space="preserve">Further, Schedule I which comprised approximately 20,000 pages contained all documents from the Russian court record. The K2 Agreements (containing the arbitration agreements) appear at pp. 29, 168 and 296 of Schedule I; the arbitration proceedings appear at pp. 11099, 11433, 11438, 11443, 11448, 11455, 11464, 11469, 11478, 11491, 11681, 16774, 16821, 16970, 17431 and 17900; and the English High Court proceedings appear at pp. 11752, 11763 and 11773. The Respondent itself relied upon documents from Schedule I in the course of its arguments on the Application for Interim Relief. </w:t>
      </w:r>
    </w:p>
    <w:p w14:paraId="65AEC07F" w14:textId="03E1854C" w:rsidR="009E77BB" w:rsidRPr="00D60D21" w:rsidRDefault="009E77BB" w:rsidP="00D60D21">
      <w:pPr>
        <w:pStyle w:val="ListParagraph"/>
        <w:numPr>
          <w:ilvl w:val="0"/>
          <w:numId w:val="2"/>
        </w:numPr>
        <w:spacing w:before="240" w:after="240"/>
        <w:contextualSpacing w:val="0"/>
        <w:rPr>
          <w:rFonts w:cs="Times New Roman"/>
          <w:szCs w:val="24"/>
        </w:rPr>
      </w:pPr>
      <w:r>
        <w:rPr>
          <w:rFonts w:cs="Times New Roman"/>
          <w:szCs w:val="24"/>
        </w:rPr>
        <w:t xml:space="preserve">The plea of arbitration, the ICC proceedings, the English proceedings, the sanctions context, and Article 248.1 were therefore not hidden from the Court. They were either set out in the Russian Judgment itself, explained through the expert report, or included in Schedule I. </w:t>
      </w:r>
    </w:p>
    <w:p w14:paraId="6ABA3030" w14:textId="1AEBF497" w:rsidR="00A75068" w:rsidRDefault="00DB1CE3" w:rsidP="00345DA0">
      <w:pPr>
        <w:pStyle w:val="ListParagraph"/>
        <w:numPr>
          <w:ilvl w:val="0"/>
          <w:numId w:val="2"/>
        </w:numPr>
        <w:spacing w:before="240" w:after="240"/>
        <w:contextualSpacing w:val="0"/>
        <w:rPr>
          <w:rFonts w:cs="Times New Roman"/>
          <w:szCs w:val="24"/>
        </w:rPr>
      </w:pPr>
      <w:r>
        <w:rPr>
          <w:rFonts w:cs="Times New Roman"/>
          <w:b/>
          <w:bCs/>
          <w:szCs w:val="24"/>
        </w:rPr>
        <w:t>Second</w:t>
      </w:r>
      <w:r>
        <w:rPr>
          <w:rFonts w:cs="Times New Roman"/>
          <w:szCs w:val="24"/>
        </w:rPr>
        <w:t xml:space="preserve">, the finding at paragraph 36 of the Impugned Order appears to conflate two distinct principles. The first principle is that where a party seeks interim relief without notice and </w:t>
      </w:r>
      <w:r>
        <w:rPr>
          <w:rFonts w:cs="Times New Roman"/>
          <w:i/>
          <w:iCs/>
          <w:szCs w:val="24"/>
        </w:rPr>
        <w:t>ex parte</w:t>
      </w:r>
      <w:r>
        <w:rPr>
          <w:rFonts w:cs="Times New Roman"/>
          <w:szCs w:val="24"/>
        </w:rPr>
        <w:t>, the Court hears only the moving party; for that reason, the applicant must make a full and frank disclosure of material facts and likely defences. That is the context in which the stricter disclosure obligation arises.</w:t>
      </w:r>
      <w:r>
        <w:t xml:space="preserve"> However, this is </w:t>
      </w:r>
      <w:r>
        <w:rPr>
          <w:rFonts w:cs="Times New Roman"/>
          <w:szCs w:val="24"/>
        </w:rPr>
        <w:t xml:space="preserve">does not remain the same in a contested interim application. In the latter, the respondent appears, files a reply, places its </w:t>
      </w:r>
      <w:r>
        <w:rPr>
          <w:rFonts w:cs="Times New Roman"/>
          <w:szCs w:val="24"/>
        </w:rPr>
        <w:lastRenderedPageBreak/>
        <w:t>own material on record and is heard. In such a case, the plaintiff is not required to anticipate and pre-emptively place every document that the respondent may rely upon in answer.</w:t>
      </w:r>
    </w:p>
    <w:p w14:paraId="03D79BB9" w14:textId="77777777" w:rsidR="00A75068" w:rsidRDefault="00A75068" w:rsidP="00A75068">
      <w:pPr>
        <w:pStyle w:val="ListParagraph"/>
        <w:numPr>
          <w:ilvl w:val="0"/>
          <w:numId w:val="2"/>
        </w:numPr>
        <w:spacing w:before="240" w:after="240"/>
        <w:contextualSpacing w:val="0"/>
        <w:rPr>
          <w:rFonts w:cs="Times New Roman"/>
          <w:szCs w:val="24"/>
        </w:rPr>
      </w:pPr>
      <w:r>
        <w:rPr>
          <w:rFonts w:cs="Times New Roman"/>
          <w:szCs w:val="24"/>
        </w:rPr>
        <w:t>This distinction has been recognised by the Division Bench of this Hon’ble Court. The Court held that the general rule under Order 39 CPC is that both sides must be heard before an interlocutory order is made, and that moving without notice is the exception. It is in that specific context that the applicant must present a fair picture to the Court. Even then, the obligation is not of perfect or exhaustive disclosure; it is to make the Court cognisant of likely issues and possible defences within sensible and proportionate limits, so that the Court is not misled on a material and relevant aspect (</w:t>
      </w:r>
      <w:r>
        <w:rPr>
          <w:rFonts w:cs="Times New Roman"/>
          <w:b/>
          <w:bCs/>
          <w:i/>
          <w:iCs/>
          <w:szCs w:val="24"/>
        </w:rPr>
        <w:t>Kewal Ashokbhai Vasoya v Suarabhakti Goods Pvt. Ltd.,</w:t>
      </w:r>
      <w:r>
        <w:rPr>
          <w:rFonts w:cs="Times New Roman"/>
          <w:szCs w:val="24"/>
        </w:rPr>
        <w:t xml:space="preserve"> 2022 SCC OnLine Bom 3335 (BHC) (DB) at [16]–[17] and [26]–[27]).</w:t>
      </w:r>
    </w:p>
    <w:p w14:paraId="2DE2EE52" w14:textId="5877C8EC" w:rsidR="00DB1CE3" w:rsidRDefault="00DB1CE3" w:rsidP="00DB1CE3">
      <w:pPr>
        <w:pStyle w:val="ListParagraph"/>
        <w:numPr>
          <w:ilvl w:val="0"/>
          <w:numId w:val="2"/>
        </w:numPr>
        <w:spacing w:before="240" w:after="240"/>
        <w:contextualSpacing w:val="0"/>
        <w:rPr>
          <w:rFonts w:cs="Times New Roman"/>
          <w:szCs w:val="24"/>
        </w:rPr>
      </w:pPr>
      <w:r>
        <w:rPr>
          <w:rFonts w:cs="Times New Roman"/>
          <w:szCs w:val="24"/>
        </w:rPr>
        <w:t>The Impugned Order does not identify any independent obligation, in a contested interim application under Sections 13 and 14 of the CPC, requiring the Appellant to go beyond this and to separately produce every order passed in the English proceedings. Nor does it find that the Appellant made any false or misleading statement, or that the Court was kept unaware of the arbitration clauses, the ICC arbitration, the English proceedings, or the basis on which the Moscow Commercial Court assumed jurisdiction. It treats the alleged non-production of certain English Court orders as suppression by itself, although the relevant facts and proceedings were already part of the record before the Court, and addressed in detail during the course of the proceedings.</w:t>
      </w:r>
    </w:p>
    <w:p w14:paraId="75DD79DB" w14:textId="77777777" w:rsidR="00DB1CE3" w:rsidRPr="00E1539C" w:rsidRDefault="00DB1CE3" w:rsidP="00DB1CE3">
      <w:pPr>
        <w:pStyle w:val="ListParagraph"/>
        <w:numPr>
          <w:ilvl w:val="0"/>
          <w:numId w:val="2"/>
        </w:numPr>
        <w:spacing w:before="240" w:after="240"/>
        <w:contextualSpacing w:val="0"/>
        <w:rPr>
          <w:rFonts w:cs="Times New Roman"/>
          <w:szCs w:val="24"/>
        </w:rPr>
      </w:pPr>
      <w:r>
        <w:rPr>
          <w:rFonts w:cs="Times New Roman"/>
          <w:szCs w:val="24"/>
        </w:rPr>
        <w:t xml:space="preserve">The Respondent’s reliance on </w:t>
      </w:r>
      <w:r>
        <w:rPr>
          <w:rFonts w:cs="Times New Roman"/>
          <w:b/>
          <w:bCs/>
          <w:i/>
          <w:iCs/>
          <w:szCs w:val="24"/>
        </w:rPr>
        <w:t>Amar Singh v Union of India</w:t>
      </w:r>
      <w:r>
        <w:rPr>
          <w:rFonts w:cs="Times New Roman"/>
          <w:szCs w:val="24"/>
        </w:rPr>
        <w:t xml:space="preserve"> (2011) 7 SCC 69 (DB) (reproduced at paragraph 29 of the Impugned Order) does not alter this position. </w:t>
      </w:r>
      <w:r>
        <w:rPr>
          <w:rFonts w:cs="Times New Roman"/>
          <w:i/>
          <w:iCs/>
          <w:szCs w:val="24"/>
        </w:rPr>
        <w:t>Amar Singh</w:t>
      </w:r>
      <w:r>
        <w:rPr>
          <w:rFonts w:cs="Times New Roman"/>
          <w:szCs w:val="24"/>
        </w:rPr>
        <w:t xml:space="preserve"> states the general principle that a litigant must not approach the Court with intent to deceive or mislead it. That was a case where the Supreme Court deprecated litigants who approach the Court with intent to deceive and mislead it; on its facts, the proceedings were founded on seriously defective affidavit material and documents alleged to be forged and fabricated. The Impugned Order records no comparable finding here. It does not find that the Appellant acted with intent to deceive, that any foundational document was false, that the Court was misled, or that the Respondent suffered prejudice.</w:t>
      </w:r>
    </w:p>
    <w:p w14:paraId="238C3316" w14:textId="6EC1BAA4" w:rsidR="00A75068" w:rsidRPr="00A75068" w:rsidRDefault="00A75068" w:rsidP="004459EA">
      <w:pPr>
        <w:pStyle w:val="ListParagraph"/>
        <w:numPr>
          <w:ilvl w:val="0"/>
          <w:numId w:val="2"/>
        </w:numPr>
        <w:spacing w:before="240" w:after="240"/>
        <w:contextualSpacing w:val="0"/>
        <w:rPr>
          <w:rFonts w:cs="Times New Roman"/>
          <w:szCs w:val="24"/>
        </w:rPr>
      </w:pPr>
      <w:r>
        <w:rPr>
          <w:rFonts w:cs="Times New Roman"/>
          <w:szCs w:val="24"/>
        </w:rPr>
        <w:t xml:space="preserve">The Application for Interim Relief was heard </w:t>
      </w:r>
      <w:r>
        <w:rPr>
          <w:rFonts w:cs="Times New Roman"/>
          <w:i/>
          <w:iCs/>
          <w:szCs w:val="24"/>
        </w:rPr>
        <w:t>inter partes</w:t>
      </w:r>
      <w:r>
        <w:rPr>
          <w:rFonts w:cs="Times New Roman"/>
          <w:szCs w:val="24"/>
        </w:rPr>
        <w:t xml:space="preserve">. The Respondent appeared, filed a </w:t>
      </w:r>
      <w:r>
        <w:rPr>
          <w:rFonts w:cs="Times New Roman"/>
          <w:szCs w:val="24"/>
          <w:lang w:val="en-IN"/>
        </w:rPr>
        <w:t xml:space="preserve">detailed affidavit in reply of 88 pages, supported by voluminous evidence running into </w:t>
      </w:r>
      <w:r>
        <w:rPr>
          <w:rFonts w:cs="Times New Roman"/>
          <w:szCs w:val="24"/>
          <w:lang w:val="en-IN"/>
        </w:rPr>
        <w:lastRenderedPageBreak/>
        <w:t>1941 pages</w:t>
      </w:r>
      <w:r>
        <w:rPr>
          <w:rFonts w:cs="Times New Roman"/>
          <w:szCs w:val="24"/>
        </w:rPr>
        <w:t xml:space="preserve">, and addressed submissions to the Court across multiple hearings on the arbitration proceedings, the ICC orders, and the English anti-suit / anti-enforcement material. In such a proceeding, the Appellant was not required to anticipate and pre-emptively place every document that the Respondent might rely upon in answer. The Impugned Order mistakenly holds the Appellant to a heightened threshold of full and frank disclosure, which is wholly inapplicable in the Application for Interim Relief. </w:t>
      </w:r>
    </w:p>
    <w:p w14:paraId="47D5585A" w14:textId="080B001D" w:rsidR="00AC31BA" w:rsidRPr="00DB1CE3" w:rsidRDefault="00345DA0" w:rsidP="007F0474">
      <w:pPr>
        <w:pStyle w:val="ListParagraph"/>
        <w:numPr>
          <w:ilvl w:val="0"/>
          <w:numId w:val="2"/>
        </w:numPr>
        <w:spacing w:before="240" w:after="240"/>
        <w:ind w:left="357" w:hanging="357"/>
        <w:contextualSpacing w:val="0"/>
        <w:rPr>
          <w:rFonts w:cs="Times New Roman"/>
          <w:szCs w:val="24"/>
        </w:rPr>
      </w:pPr>
      <w:r>
        <w:rPr>
          <w:rFonts w:cs="Times New Roman"/>
          <w:szCs w:val="24"/>
        </w:rPr>
        <w:t>The error in the Impugned Order is therefore clear. The Appellant produced the certified Russian Judgment and filed Schedule I containing the certified and translated record of the Russian proceedings. The material facts concerning the arbitration clauses, the ICC arbitration, the English proceedings, the sanctions context and Article 248.1 were therefore before the Court and were relied upon by the Respondent. The Impugned Order does not identify any false or misleading statement, any material fact withheld from the Court, or any dishonest conduct by the Appellant. It appears to apply a heightened disclosure standard applicable to without-notice applications to a contested interim application where both parties’ arguments and evidence was expressly considered. The finding of suppression and non-disclosure is therefore legally and factually unsustainable.</w:t>
      </w:r>
      <w:r>
        <w:rPr>
          <w:rFonts w:eastAsia="Times New Roman" w:cs="Times New Roman"/>
          <w:szCs w:val="24"/>
        </w:rPr>
        <w:t xml:space="preserve"> </w:t>
      </w:r>
      <w:bookmarkEnd w:id="3"/>
      <w:bookmarkEnd w:id="4"/>
    </w:p>
    <w:p w14:paraId="7A1C7007" w14:textId="3D8B023A" w:rsidR="009343A0" w:rsidRPr="00C203D9" w:rsidRDefault="009343A0" w:rsidP="00165F2F">
      <w:pPr>
        <w:pStyle w:val="Heading1"/>
        <w:spacing w:after="240"/>
        <w:rPr>
          <w:rFonts w:cs="Times New Roman"/>
          <w:szCs w:val="24"/>
        </w:rPr>
      </w:pPr>
      <w:bookmarkStart w:id="12" w:name="_Toc233313252"/>
      <w:bookmarkStart w:id="13" w:name="_Toc233561954"/>
      <w:r>
        <w:rPr>
          <w:rFonts w:cs="Times New Roman"/>
          <w:szCs w:val="24"/>
        </w:rPr>
        <w:t xml:space="preserve">THE IMPUGNED ORDER </w:t>
      </w:r>
      <w:bookmarkEnd w:id="12"/>
      <w:r>
        <w:t>APPLIED AN INCORRECT THRESHOLD ON RISK OF DISSIPATION AND FAILED TO CONSIDER THE MATERIAL BEFORE THE COURT</w:t>
      </w:r>
      <w:bookmarkEnd w:id="13"/>
    </w:p>
    <w:p w14:paraId="7438CF49" w14:textId="3F3A968F" w:rsidR="007034B1" w:rsidRDefault="007034B1" w:rsidP="00165F2F">
      <w:pPr>
        <w:pStyle w:val="ListParagraph"/>
        <w:numPr>
          <w:ilvl w:val="0"/>
          <w:numId w:val="2"/>
        </w:numPr>
        <w:suppressAutoHyphens w:val="0"/>
        <w:spacing w:before="240" w:after="240"/>
        <w:contextualSpacing w:val="0"/>
        <w:rPr>
          <w:rFonts w:eastAsia="Times New Roman" w:cs="Times New Roman"/>
          <w:szCs w:val="24"/>
        </w:rPr>
      </w:pPr>
      <w:r>
        <w:rPr>
          <w:rFonts w:eastAsia="Times New Roman" w:cs="Times New Roman"/>
          <w:szCs w:val="24"/>
        </w:rPr>
        <w:t xml:space="preserve">At paragraph 36 of the Impugned Order, the Learned Single Judge rejected the dissipation risk on two grounds: </w:t>
      </w:r>
      <w:r>
        <w:rPr>
          <w:rFonts w:eastAsia="Times New Roman" w:cs="Times New Roman"/>
          <w:i/>
          <w:iCs/>
          <w:szCs w:val="24"/>
        </w:rPr>
        <w:t>first</w:t>
      </w:r>
      <w:r>
        <w:rPr>
          <w:rFonts w:eastAsia="Times New Roman" w:cs="Times New Roman"/>
          <w:szCs w:val="24"/>
        </w:rPr>
        <w:t xml:space="preserve">, that the Russian Court had already granted an injunction in respect of the Assignment Agreement; and </w:t>
      </w:r>
      <w:r>
        <w:rPr>
          <w:rFonts w:eastAsia="Times New Roman" w:cs="Times New Roman"/>
          <w:i/>
          <w:iCs/>
          <w:szCs w:val="24"/>
        </w:rPr>
        <w:t>second</w:t>
      </w:r>
      <w:r>
        <w:rPr>
          <w:rFonts w:eastAsia="Times New Roman" w:cs="Times New Roman"/>
          <w:szCs w:val="24"/>
        </w:rPr>
        <w:t>, that “</w:t>
      </w:r>
      <w:r>
        <w:rPr>
          <w:rFonts w:eastAsia="Times New Roman" w:cs="Times New Roman"/>
          <w:i/>
          <w:iCs/>
          <w:szCs w:val="24"/>
        </w:rPr>
        <w:t>merely saying that the defendant is likely to transfer its funds out of India to defeat the plaintiff's claim would not be sufficient to grant an injunction when there is no prima facie evidence to support the plaintiff's claim.</w:t>
      </w:r>
      <w:r>
        <w:rPr>
          <w:rFonts w:eastAsia="Times New Roman" w:cs="Times New Roman"/>
          <w:szCs w:val="24"/>
        </w:rPr>
        <w:t>”</w:t>
      </w:r>
    </w:p>
    <w:p w14:paraId="1228909E" w14:textId="0B94D4F6" w:rsidR="009343A0" w:rsidRPr="007034B1" w:rsidRDefault="007034B1" w:rsidP="00165F2F">
      <w:pPr>
        <w:pStyle w:val="ListParagraph"/>
        <w:numPr>
          <w:ilvl w:val="0"/>
          <w:numId w:val="2"/>
        </w:numPr>
        <w:suppressAutoHyphens w:val="0"/>
        <w:spacing w:before="240" w:after="240"/>
        <w:contextualSpacing w:val="0"/>
        <w:rPr>
          <w:rFonts w:eastAsia="Times New Roman" w:cs="Times New Roman"/>
          <w:szCs w:val="24"/>
        </w:rPr>
      </w:pPr>
      <w:r>
        <w:rPr>
          <w:rFonts w:eastAsia="Times New Roman" w:cs="Times New Roman"/>
          <w:szCs w:val="24"/>
        </w:rPr>
        <w:t xml:space="preserve">With respect, this reasoning is flawed in two respects: (i) the threshold applied is that of Order 38 Rule 5 CPC (attachment before judgment, requiring a higher and more specific showing of intent to abscond or dispose of property to defraud creditors), not Order 39 Rule 1(b) CPC; and (ii) the Ld. Single Judge's dismissal of </w:t>
      </w:r>
      <w:r>
        <w:rPr>
          <w:rFonts w:eastAsia="Times New Roman" w:cs="Times New Roman"/>
          <w:i/>
          <w:iCs/>
          <w:szCs w:val="24"/>
        </w:rPr>
        <w:t>prima facie</w:t>
      </w:r>
      <w:r>
        <w:rPr>
          <w:rFonts w:eastAsia="Times New Roman" w:cs="Times New Roman"/>
          <w:szCs w:val="24"/>
        </w:rPr>
        <w:t xml:space="preserve"> evidence of dissipation is inconsistent with the material actually placed before the Court.</w:t>
      </w:r>
    </w:p>
    <w:p w14:paraId="04E7AF5B" w14:textId="67BA960A" w:rsidR="009343A0" w:rsidRPr="0035716D" w:rsidRDefault="009343A0" w:rsidP="00165F2F">
      <w:pPr>
        <w:pStyle w:val="ListParagraph"/>
        <w:numPr>
          <w:ilvl w:val="0"/>
          <w:numId w:val="2"/>
        </w:numPr>
        <w:spacing w:before="240" w:after="240"/>
        <w:contextualSpacing w:val="0"/>
        <w:rPr>
          <w:rFonts w:cs="Times New Roman"/>
          <w:szCs w:val="24"/>
        </w:rPr>
      </w:pPr>
      <w:r>
        <w:rPr>
          <w:rFonts w:eastAsia="Times New Roman" w:cs="Times New Roman"/>
          <w:szCs w:val="24"/>
          <w:u w:val="single"/>
        </w:rPr>
        <w:lastRenderedPageBreak/>
        <w:t>The Impugned Order misapplies the threshold and mischaracterises the evidence</w:t>
      </w:r>
      <w:r>
        <w:rPr>
          <w:rFonts w:eastAsia="Times New Roman" w:cs="Times New Roman"/>
          <w:szCs w:val="24"/>
        </w:rPr>
        <w:t>. The Appellant sought</w:t>
      </w:r>
      <w:r>
        <w:rPr>
          <w:rFonts w:cs="Times New Roman"/>
          <w:szCs w:val="24"/>
        </w:rPr>
        <w:t xml:space="preserve"> relief under Order 39 Rule 1(b) of the CPC, not attachment before judgment under Order 38 Rule 5 of the CPC (</w:t>
      </w:r>
      <w:r>
        <w:rPr>
          <w:rFonts w:cs="Times New Roman"/>
          <w:b/>
          <w:bCs/>
          <w:i/>
          <w:iCs/>
          <w:szCs w:val="24"/>
        </w:rPr>
        <w:t>Future Corporate Resources Pvt Ltd v Edelweiss and Ors.</w:t>
      </w:r>
      <w:r>
        <w:rPr>
          <w:rFonts w:cs="Times New Roman"/>
          <w:szCs w:val="24"/>
        </w:rPr>
        <w:t>,</w:t>
      </w:r>
      <w:r>
        <w:rPr>
          <w:rFonts w:cs="Times New Roman"/>
          <w:b/>
          <w:bCs/>
          <w:szCs w:val="24"/>
        </w:rPr>
        <w:t xml:space="preserve"> </w:t>
      </w:r>
      <w:r>
        <w:rPr>
          <w:rFonts w:cs="Times New Roman"/>
          <w:szCs w:val="24"/>
        </w:rPr>
        <w:t xml:space="preserve">2022 SCC OnLine Bom 3744 (BHC) (DB) at [38]). The standard for the latter is higher. In contrast, the threshold under Order 39 Rule 1(b) is a </w:t>
      </w:r>
      <w:r>
        <w:rPr>
          <w:rFonts w:cs="Times New Roman"/>
          <w:i/>
          <w:iCs/>
          <w:szCs w:val="24"/>
        </w:rPr>
        <w:t>prima facie</w:t>
      </w:r>
      <w:r>
        <w:rPr>
          <w:rFonts w:cs="Times New Roman"/>
          <w:szCs w:val="24"/>
        </w:rPr>
        <w:t xml:space="preserve"> apprehension that the defendant threatens, or intends, to remove or dispose of its property with a view to defrauding its creditors. </w:t>
      </w:r>
    </w:p>
    <w:p w14:paraId="3591CC27" w14:textId="76AB2DED" w:rsidR="007034B1" w:rsidRPr="007034B1" w:rsidRDefault="009343A0" w:rsidP="00165F2F">
      <w:pPr>
        <w:pStyle w:val="ListParagraph"/>
        <w:numPr>
          <w:ilvl w:val="0"/>
          <w:numId w:val="2"/>
        </w:numPr>
        <w:suppressAutoHyphens w:val="0"/>
        <w:spacing w:before="240" w:after="240"/>
        <w:contextualSpacing w:val="0"/>
        <w:rPr>
          <w:rFonts w:cs="Times New Roman"/>
          <w:szCs w:val="24"/>
        </w:rPr>
      </w:pPr>
      <w:r>
        <w:rPr>
          <w:rFonts w:cs="Times New Roman"/>
          <w:szCs w:val="24"/>
        </w:rPr>
        <w:t xml:space="preserve">The Impugned Order, however, does not apply this lower threshold. </w:t>
      </w:r>
      <w:r>
        <w:t>The standard under Order 39 Rule 1(b) does not require the plaintiff to prove fraudulent intent. It requires a prima facie apprehension supported by material, a lower bar than Order 38 Rule 5.</w:t>
      </w:r>
    </w:p>
    <w:p w14:paraId="473EF692" w14:textId="442848C5" w:rsidR="009343A0" w:rsidRDefault="007034B1" w:rsidP="00165F2F">
      <w:pPr>
        <w:pStyle w:val="ListParagraph"/>
        <w:numPr>
          <w:ilvl w:val="0"/>
          <w:numId w:val="2"/>
        </w:numPr>
        <w:suppressAutoHyphens w:val="0"/>
        <w:spacing w:before="240" w:after="240"/>
        <w:contextualSpacing w:val="0"/>
        <w:rPr>
          <w:rFonts w:cs="Times New Roman"/>
          <w:szCs w:val="24"/>
        </w:rPr>
      </w:pPr>
      <w:r>
        <w:rPr>
          <w:rFonts w:cs="Times New Roman"/>
          <w:szCs w:val="24"/>
          <w:u w:val="single"/>
        </w:rPr>
        <w:t>The material before the court plainly established prima facie risk.</w:t>
      </w:r>
      <w:r>
        <w:rPr>
          <w:rFonts w:cs="Times New Roman"/>
          <w:szCs w:val="24"/>
        </w:rPr>
        <w:t xml:space="preserve"> The Impugned Order mischaracterises Appellant’s submissions as “merely saying”, treating them as unsupported assertions, without considering </w:t>
      </w:r>
      <w:r>
        <w:rPr>
          <w:rFonts w:eastAsia="Times New Roman" w:cs="Times New Roman"/>
          <w:szCs w:val="24"/>
        </w:rPr>
        <w:t xml:space="preserve">that the </w:t>
      </w:r>
      <w:r>
        <w:rPr>
          <w:rFonts w:cs="Times New Roman"/>
          <w:szCs w:val="24"/>
        </w:rPr>
        <w:t>Appellant’s Interim Application was</w:t>
      </w:r>
      <w:r>
        <w:rPr>
          <w:rFonts w:eastAsia="Times New Roman" w:cs="Times New Roman"/>
          <w:szCs w:val="24"/>
        </w:rPr>
        <w:t xml:space="preserve"> founded on the Assignment Agreement between the Respondent and MTR dated 8 October 2025 (</w:t>
      </w:r>
      <w:r>
        <w:rPr>
          <w:rFonts w:eastAsia="Times New Roman" w:cs="Times New Roman"/>
          <w:b/>
          <w:bCs/>
          <w:szCs w:val="24"/>
        </w:rPr>
        <w:t>Assignment Agreement</w:t>
      </w:r>
      <w:r>
        <w:rPr>
          <w:rFonts w:eastAsia="Times New Roman" w:cs="Times New Roman"/>
          <w:szCs w:val="24"/>
        </w:rPr>
        <w:t xml:space="preserve"> in Ex. D at p. 2287 and Recitals M and N at pp. 2289-2290). Immediately after the Appellant initiated proceedings before the Moscow Commercial Court, the Respondent and its alter ego / agent, MTR, took steps under the Assignment Agreement to move assets of approximately EUR 236 million from Russia to Italy. The </w:t>
      </w:r>
      <w:r>
        <w:rPr>
          <w:rFonts w:cs="Times New Roman"/>
          <w:szCs w:val="24"/>
        </w:rPr>
        <w:t>Appellant’s</w:t>
      </w:r>
      <w:r>
        <w:rPr>
          <w:rFonts w:eastAsia="Times New Roman" w:cs="Times New Roman"/>
          <w:szCs w:val="24"/>
        </w:rPr>
        <w:t xml:space="preserve"> case was that this was done with an intent to defraud creditors in Russia and defeat </w:t>
      </w:r>
      <w:r>
        <w:rPr>
          <w:rFonts w:cs="Times New Roman"/>
          <w:szCs w:val="24"/>
        </w:rPr>
        <w:t xml:space="preserve">the </w:t>
      </w:r>
      <w:r>
        <w:rPr>
          <w:rFonts w:eastAsia="Times New Roman" w:cs="Times New Roman"/>
          <w:szCs w:val="24"/>
        </w:rPr>
        <w:t>execution of any decree</w:t>
      </w:r>
      <w:r>
        <w:rPr>
          <w:rFonts w:cs="Times New Roman"/>
          <w:szCs w:val="24"/>
        </w:rPr>
        <w:t xml:space="preserve"> </w:t>
      </w:r>
      <w:r>
        <w:rPr>
          <w:rFonts w:cs="Times New Roman"/>
          <w:b/>
          <w:bCs/>
          <w:szCs w:val="24"/>
        </w:rPr>
        <w:t xml:space="preserve">(Clause 2, Assignment Agreement </w:t>
      </w:r>
      <w:r>
        <w:rPr>
          <w:rFonts w:cs="Times New Roman"/>
          <w:szCs w:val="24"/>
        </w:rPr>
        <w:t>in Ex. D of the Appeal Memo at p. 2287 at pp. 2290-2291</w:t>
      </w:r>
      <w:r>
        <w:rPr>
          <w:rFonts w:cs="Times New Roman"/>
          <w:b/>
          <w:bCs/>
          <w:szCs w:val="24"/>
        </w:rPr>
        <w:t>)</w:t>
      </w:r>
      <w:r>
        <w:rPr>
          <w:rFonts w:cs="Times New Roman"/>
          <w:szCs w:val="24"/>
        </w:rPr>
        <w:t>. This is documentary evidence of an executed transaction, not a “mere” assertion.</w:t>
      </w:r>
    </w:p>
    <w:p w14:paraId="558627F0" w14:textId="4BAD2F44" w:rsidR="009343A0" w:rsidRPr="006A456C" w:rsidRDefault="009343A0" w:rsidP="00165F2F">
      <w:pPr>
        <w:pStyle w:val="ListParagraph"/>
        <w:numPr>
          <w:ilvl w:val="0"/>
          <w:numId w:val="2"/>
        </w:numPr>
        <w:spacing w:before="240" w:after="240"/>
        <w:contextualSpacing w:val="0"/>
        <w:rPr>
          <w:rFonts w:cs="Times New Roman"/>
          <w:szCs w:val="24"/>
        </w:rPr>
      </w:pPr>
      <w:r>
        <w:rPr>
          <w:rFonts w:eastAsia="Times New Roman" w:cs="Times New Roman"/>
          <w:szCs w:val="24"/>
        </w:rPr>
        <w:t xml:space="preserve">The Appellant had also placed on record the Moscow Commercial Court </w:t>
      </w:r>
      <w:r>
        <w:rPr>
          <w:rFonts w:cs="Times New Roman"/>
          <w:szCs w:val="24"/>
        </w:rPr>
        <w:t>decision dated</w:t>
      </w:r>
      <w:r>
        <w:rPr>
          <w:rFonts w:eastAsia="Times New Roman" w:cs="Times New Roman"/>
          <w:szCs w:val="24"/>
        </w:rPr>
        <w:t xml:space="preserve"> 30 October 2025</w:t>
      </w:r>
      <w:r>
        <w:rPr>
          <w:rFonts w:cs="Times New Roman"/>
          <w:szCs w:val="24"/>
        </w:rPr>
        <w:t xml:space="preserve"> which granted interim injunctions against the Respondent restraining it from dissipating its assets and its decision dated </w:t>
      </w:r>
      <w:r>
        <w:rPr>
          <w:rFonts w:eastAsia="Times New Roman" w:cs="Times New Roman"/>
          <w:szCs w:val="24"/>
        </w:rPr>
        <w:t>3 December 2025</w:t>
      </w:r>
      <w:r>
        <w:rPr>
          <w:rFonts w:cs="Times New Roman"/>
          <w:szCs w:val="24"/>
        </w:rPr>
        <w:t xml:space="preserve"> granting injunctions against enforcement of the Assignment Agreement (</w:t>
      </w:r>
      <w:r>
        <w:rPr>
          <w:rFonts w:cs="Times New Roman"/>
          <w:b/>
          <w:bCs/>
          <w:szCs w:val="24"/>
        </w:rPr>
        <w:t xml:space="preserve">Decision dated 30 October 2025 </w:t>
      </w:r>
      <w:r>
        <w:rPr>
          <w:rFonts w:cs="Times New Roman"/>
          <w:szCs w:val="24"/>
        </w:rPr>
        <w:t xml:space="preserve">in Exhibit D of the Appeal Memo at pp. 2298-2299; </w:t>
      </w:r>
      <w:r>
        <w:rPr>
          <w:rFonts w:cs="Times New Roman"/>
          <w:b/>
          <w:bCs/>
          <w:szCs w:val="24"/>
        </w:rPr>
        <w:t xml:space="preserve">Decision dated 3 December 2025 </w:t>
      </w:r>
      <w:r>
        <w:rPr>
          <w:rFonts w:cs="Times New Roman"/>
          <w:szCs w:val="24"/>
        </w:rPr>
        <w:t>in Exhibit D of the Appeal Memo at pp. 2324-2326).</w:t>
      </w:r>
      <w:r>
        <w:rPr>
          <w:rFonts w:eastAsia="Times New Roman" w:cs="Times New Roman"/>
          <w:szCs w:val="24"/>
        </w:rPr>
        <w:t xml:space="preserve"> Subsequently, on 4 May 2026, the Moscow Commercial Court </w:t>
      </w:r>
      <w:r>
        <w:t>declared the Assignment Agreement void in its entirety, holding that the Respondent and MTR concluded it with the aim of circumventing enforcement of the Russian Judgment, of transferring MTR’s assets outside the Russian Federation to a hostile jurisdiction, and of causing harm to the Appellant and the MTR’s other creditors</w:t>
      </w:r>
      <w:r>
        <w:rPr>
          <w:rFonts w:eastAsia="Times New Roman" w:cs="Times New Roman"/>
          <w:szCs w:val="24"/>
        </w:rPr>
        <w:t xml:space="preserve">. This </w:t>
      </w:r>
      <w:r>
        <w:rPr>
          <w:rFonts w:eastAsia="Times New Roman" w:cs="Times New Roman"/>
          <w:szCs w:val="24"/>
        </w:rPr>
        <w:lastRenderedPageBreak/>
        <w:t xml:space="preserve">decision confirms the Appellant’s apprehensions, which were already submitted before the Ld. Single Judge. </w:t>
      </w:r>
    </w:p>
    <w:p w14:paraId="2E45382B" w14:textId="77777777" w:rsidR="00567CFB" w:rsidRDefault="00000000">
      <w:pPr>
        <w:pStyle w:val="ListParagraph"/>
        <w:numPr>
          <w:ilvl w:val="0"/>
          <w:numId w:val="2"/>
        </w:numPr>
        <w:spacing w:before="240" w:after="240"/>
        <w:contextualSpacing w:val="0"/>
        <w:rPr>
          <w:rFonts w:cs="Times New Roman"/>
          <w:szCs w:val="24"/>
        </w:rPr>
      </w:pPr>
      <w:commentRangeStart w:id="14"/>
      <w:r>
        <w:rPr>
          <w:rFonts w:cs="Times New Roman"/>
          <w:szCs w:val="24"/>
        </w:rPr>
        <w:t>Independently of the Assignment Agreement, the financial records of the Respondent’s Indian subsidiary show approximately INR 609.81 crore payable to the Italian parent (the Respondent) towards overhead expenses. This amount could be remitted unless the Court intervenes, thereby creating a concrete and imminent India-specific risk to the enforceability of the Appellant’s claim.</w:t>
      </w:r>
      <w:commentRangeEnd w:id="14"/>
      <w:r>
        <w:rPr>
          <w:rStyle w:val="CommentReference"/>
          <w:rFonts w:cs="Times New Roman"/>
          <w:sz w:val="24"/>
          <w:szCs w:val="24"/>
        </w:rPr>
        <w:commentReference w:id="14"/>
      </w:r>
    </w:p>
    <w:p w14:paraId="16B7076B" w14:textId="77777777" w:rsidR="009343A0" w:rsidRDefault="009343A0" w:rsidP="00165F2F">
      <w:pPr>
        <w:pStyle w:val="ListParagraph"/>
        <w:numPr>
          <w:ilvl w:val="0"/>
          <w:numId w:val="2"/>
        </w:numPr>
        <w:spacing w:before="240" w:after="240"/>
        <w:contextualSpacing w:val="0"/>
        <w:rPr>
          <w:rFonts w:cs="Times New Roman"/>
          <w:szCs w:val="24"/>
        </w:rPr>
      </w:pPr>
      <w:r>
        <w:rPr>
          <w:rFonts w:cs="Times New Roman"/>
          <w:szCs w:val="24"/>
        </w:rPr>
        <w:t xml:space="preserve">The Russian measures are evidence supporting, not answering, the Appellant's apprehension. When a court of competent jurisdiction had already found a sufficient basis to grant protection against the same transaction, the Impugned Order should have inferred it in favour of granting the Interim Application. However, the Impugned Order reverses this inference, erroneously relying on the Russian measures to deny relief in India. In any event, those measures protect Russian proceedings, not the Respondent's assets and actionable claims in India. The captioned Interim Application sought relief against Indian assets, which the Russian measures neither cover nor protect. </w:t>
      </w:r>
    </w:p>
    <w:p w14:paraId="5641E29A" w14:textId="7A5E2A09" w:rsidR="00AC31BA" w:rsidRPr="00BA1EB9" w:rsidRDefault="00D52741" w:rsidP="00165F2F">
      <w:pPr>
        <w:pStyle w:val="Heading1"/>
        <w:spacing w:after="240"/>
        <w:rPr>
          <w:rFonts w:cs="Times New Roman"/>
          <w:szCs w:val="24"/>
        </w:rPr>
      </w:pPr>
      <w:bookmarkStart w:id="15" w:name="_Toc233227855"/>
      <w:bookmarkStart w:id="16" w:name="_Toc233118643"/>
      <w:bookmarkStart w:id="17" w:name="_Toc233561955"/>
      <w:r>
        <w:rPr>
          <w:rFonts w:cs="Times New Roman"/>
          <w:szCs w:val="24"/>
        </w:rPr>
        <w:t>CONCLUSION</w:t>
      </w:r>
      <w:bookmarkEnd w:id="15"/>
      <w:bookmarkEnd w:id="16"/>
      <w:bookmarkEnd w:id="17"/>
    </w:p>
    <w:p w14:paraId="389F168C" w14:textId="77777777" w:rsidR="00AC31BA" w:rsidRPr="00BA1EB9" w:rsidRDefault="00D52741" w:rsidP="00165F2F">
      <w:pPr>
        <w:pStyle w:val="ListParagraph"/>
        <w:numPr>
          <w:ilvl w:val="0"/>
          <w:numId w:val="2"/>
        </w:numPr>
        <w:spacing w:before="240" w:after="240"/>
        <w:contextualSpacing w:val="0"/>
        <w:rPr>
          <w:rFonts w:cs="Times New Roman"/>
          <w:szCs w:val="24"/>
        </w:rPr>
      </w:pPr>
      <w:r>
        <w:rPr>
          <w:rFonts w:eastAsia="Times New Roman" w:cs="Times New Roman"/>
          <w:szCs w:val="24"/>
        </w:rPr>
        <w:t xml:space="preserve">The Impugned Order is liable to be set aside. The Ld. Single Judge applied a legally erroneous standard under Sections 13 and 14 of the CPC, treated contested and disclosed material as suppression, and failed to consider the </w:t>
      </w:r>
      <w:r>
        <w:rPr>
          <w:rFonts w:cs="Times New Roman"/>
          <w:szCs w:val="24"/>
        </w:rPr>
        <w:t>Appellant’s</w:t>
      </w:r>
      <w:r>
        <w:rPr>
          <w:rFonts w:eastAsia="Times New Roman" w:cs="Times New Roman"/>
          <w:szCs w:val="24"/>
        </w:rPr>
        <w:t xml:space="preserve"> case on </w:t>
      </w:r>
      <w:r>
        <w:rPr>
          <w:rFonts w:eastAsia="Times New Roman" w:cs="Times New Roman"/>
          <w:i/>
          <w:iCs/>
          <w:szCs w:val="24"/>
        </w:rPr>
        <w:t>prima facie</w:t>
      </w:r>
      <w:r>
        <w:rPr>
          <w:rFonts w:eastAsia="Times New Roman" w:cs="Times New Roman"/>
          <w:szCs w:val="24"/>
        </w:rPr>
        <w:t xml:space="preserve"> evidence of defrauding creditors under the correct Order 39 Rule 1(b) threshold.</w:t>
      </w:r>
    </w:p>
    <w:p w14:paraId="4A30C237" w14:textId="77777777" w:rsidR="00AC31BA" w:rsidRPr="00BA1EB9" w:rsidRDefault="00D52741" w:rsidP="00165F2F">
      <w:pPr>
        <w:pStyle w:val="ListParagraph"/>
        <w:numPr>
          <w:ilvl w:val="0"/>
          <w:numId w:val="2"/>
        </w:numPr>
        <w:spacing w:before="240" w:after="240"/>
        <w:contextualSpacing w:val="0"/>
        <w:rPr>
          <w:rFonts w:cs="Times New Roman"/>
          <w:szCs w:val="24"/>
        </w:rPr>
      </w:pPr>
      <w:r>
        <w:rPr>
          <w:rFonts w:eastAsia="Times New Roman" w:cs="Times New Roman"/>
          <w:szCs w:val="24"/>
        </w:rPr>
        <w:t>The Appellant therefore submits that the Impugned Order warrants appellate interference, and that the Appellant has made out a case for interim protection restraining the Respondent from removing or disposing of assets and actionable claims in India otherwise than in the ordinary course of business, pending disposal of the captioned Suit.</w:t>
      </w:r>
    </w:p>
    <w:p w14:paraId="4B978B27" w14:textId="77777777" w:rsidR="00AC31BA" w:rsidRPr="00BA1EB9" w:rsidRDefault="00D52741" w:rsidP="007B2481">
      <w:pPr>
        <w:pStyle w:val="ListParagraph"/>
        <w:keepLines/>
        <w:ind w:left="360" w:firstLine="0"/>
        <w:contextualSpacing w:val="0"/>
        <w:jc w:val="right"/>
        <w:rPr>
          <w:rFonts w:cs="Times New Roman"/>
          <w:szCs w:val="24"/>
        </w:rPr>
      </w:pPr>
      <w:r>
        <w:rPr>
          <w:rFonts w:cs="Times New Roman"/>
          <w:szCs w:val="24"/>
        </w:rPr>
        <w:t>Singularity Legal</w:t>
      </w:r>
    </w:p>
    <w:p w14:paraId="0FC22279" w14:textId="77777777" w:rsidR="00AC31BA" w:rsidRPr="00BA1EB9" w:rsidRDefault="00D52741" w:rsidP="007B2481">
      <w:pPr>
        <w:keepLines/>
        <w:ind w:firstLine="0"/>
        <w:jc w:val="right"/>
        <w:rPr>
          <w:rFonts w:cs="Times New Roman"/>
          <w:szCs w:val="24"/>
        </w:rPr>
      </w:pPr>
      <w:r>
        <w:rPr>
          <w:rFonts w:cs="Times New Roman"/>
          <w:szCs w:val="24"/>
        </w:rPr>
        <w:t>Counsel for the Appellant / Orig. Plaintiff</w:t>
      </w:r>
    </w:p>
    <w:p w14:paraId="25B1447D" w14:textId="7F590335" w:rsidR="00AC31BA" w:rsidRPr="00BA1EB9" w:rsidRDefault="00335AE7" w:rsidP="007B2481">
      <w:pPr>
        <w:keepLines/>
        <w:ind w:firstLine="0"/>
        <w:jc w:val="right"/>
        <w:rPr>
          <w:rFonts w:cs="Times New Roman"/>
          <w:szCs w:val="24"/>
        </w:rPr>
      </w:pPr>
      <w:r>
        <w:rPr>
          <w:rFonts w:cs="Times New Roman"/>
          <w:szCs w:val="24"/>
        </w:rPr>
        <w:t>___ July 2026</w:t>
      </w:r>
    </w:p>
    <w:p w14:paraId="1C9D42A8" w14:textId="77777777" w:rsidR="00AC31BA" w:rsidRPr="00BA1EB9" w:rsidRDefault="00AC31BA" w:rsidP="007B2481">
      <w:pPr>
        <w:keepLines/>
        <w:ind w:firstLine="0"/>
        <w:jc w:val="right"/>
        <w:rPr>
          <w:rFonts w:cs="Times New Roman"/>
          <w:szCs w:val="24"/>
        </w:rPr>
      </w:pPr>
    </w:p>
    <w:p w14:paraId="7F2C8BED" w14:textId="77777777" w:rsidR="00BE553D" w:rsidRDefault="00BE553D">
      <w:pPr>
        <w:spacing w:before="0" w:after="0" w:line="240" w:lineRule="auto"/>
        <w:ind w:firstLine="0"/>
        <w:jc w:val="left"/>
        <w:rPr>
          <w:rFonts w:cs="Times New Roman"/>
          <w:b/>
          <w:bCs/>
          <w:szCs w:val="24"/>
        </w:rPr>
      </w:pPr>
      <w:bookmarkStart w:id="18" w:name="_Toc233227856"/>
      <w:bookmarkStart w:id="19" w:name="_Toc233561956"/>
      <w:r>
        <w:rPr>
          <w:rFonts w:cs="Times New Roman"/>
          <w:szCs w:val="24"/>
        </w:rPr>
        <w:br w:type="page"/>
      </w:r>
    </w:p>
    <w:p w14:paraId="5812F94D" w14:textId="0B48B3F6" w:rsidR="00AC31BA" w:rsidRPr="00BA1EB9" w:rsidRDefault="00D52741" w:rsidP="007B2481">
      <w:pPr>
        <w:pStyle w:val="Heading1"/>
        <w:numPr>
          <w:ilvl w:val="0"/>
          <w:numId w:val="0"/>
        </w:numPr>
        <w:spacing w:before="120"/>
        <w:ind w:left="357"/>
        <w:jc w:val="center"/>
        <w:rPr>
          <w:rFonts w:cs="Times New Roman"/>
          <w:szCs w:val="24"/>
        </w:rPr>
      </w:pPr>
      <w:r>
        <w:rPr>
          <w:rFonts w:cs="Times New Roman"/>
          <w:szCs w:val="24"/>
        </w:rPr>
        <w:lastRenderedPageBreak/>
        <w:t>TABLE OF AUTHORITIES</w:t>
      </w:r>
      <w:bookmarkEnd w:id="18"/>
      <w:bookmarkEnd w:id="19"/>
    </w:p>
    <w:tbl>
      <w:tblPr>
        <w:tblStyle w:val="TableGrid"/>
        <w:tblW w:w="0" w:type="auto"/>
        <w:tblCellMar>
          <w:top w:w="80" w:type="dxa"/>
          <w:left w:w="80" w:type="dxa"/>
          <w:bottom w:w="80" w:type="dxa"/>
          <w:right w:w="80" w:type="dxa"/>
        </w:tblCellMar>
        <w:tblLook w:val="04A0" w:firstRow="1" w:lastRow="0" w:firstColumn="1" w:lastColumn="0" w:noHBand="0" w:noVBand="1"/>
      </w:tblPr>
      <w:tblGrid>
        <w:gridCol w:w="676"/>
        <w:gridCol w:w="5787"/>
        <w:gridCol w:w="2553"/>
      </w:tblGrid>
      <w:tr w:rsidR="00AC31BA" w:rsidRPr="00BA1EB9" w14:paraId="031CC57E" w14:textId="77777777" w:rsidTr="007B2481">
        <w:tc>
          <w:tcPr>
            <w:tcW w:w="0" w:type="auto"/>
            <w:shd w:val="clear" w:color="auto" w:fill="A6A6A6" w:themeFill="background1" w:themeFillShade="A6"/>
          </w:tcPr>
          <w:p w14:paraId="6AF2E9BE" w14:textId="77777777" w:rsidR="00AC31BA" w:rsidRPr="00BA1EB9" w:rsidRDefault="00D52741" w:rsidP="00BE553D">
            <w:pPr>
              <w:spacing w:line="240" w:lineRule="auto"/>
              <w:ind w:firstLine="0"/>
              <w:jc w:val="center"/>
              <w:rPr>
                <w:rFonts w:cs="Times New Roman"/>
                <w:szCs w:val="24"/>
              </w:rPr>
            </w:pPr>
            <w:r>
              <w:rPr>
                <w:rFonts w:cs="Times New Roman"/>
                <w:b/>
                <w:szCs w:val="24"/>
              </w:rPr>
              <w:t>Sr. No.</w:t>
            </w:r>
          </w:p>
        </w:tc>
        <w:tc>
          <w:tcPr>
            <w:tcW w:w="0" w:type="auto"/>
            <w:shd w:val="clear" w:color="auto" w:fill="A6A6A6" w:themeFill="background1" w:themeFillShade="A6"/>
          </w:tcPr>
          <w:p w14:paraId="03FE1803" w14:textId="77777777" w:rsidR="00AC31BA" w:rsidRPr="00BA1EB9" w:rsidRDefault="00D52741" w:rsidP="00BE553D">
            <w:pPr>
              <w:spacing w:line="240" w:lineRule="auto"/>
              <w:ind w:firstLine="0"/>
              <w:jc w:val="center"/>
              <w:rPr>
                <w:rFonts w:cs="Times New Roman"/>
                <w:szCs w:val="24"/>
              </w:rPr>
            </w:pPr>
            <w:r>
              <w:rPr>
                <w:rFonts w:cs="Times New Roman"/>
                <w:b/>
                <w:szCs w:val="24"/>
              </w:rPr>
              <w:t>Document</w:t>
            </w:r>
          </w:p>
        </w:tc>
        <w:tc>
          <w:tcPr>
            <w:tcW w:w="0" w:type="auto"/>
            <w:shd w:val="clear" w:color="auto" w:fill="A6A6A6" w:themeFill="background1" w:themeFillShade="A6"/>
          </w:tcPr>
          <w:p w14:paraId="45EBD37A" w14:textId="77777777" w:rsidR="00AC31BA" w:rsidRPr="00BA1EB9" w:rsidRDefault="00D52741" w:rsidP="00BE553D">
            <w:pPr>
              <w:spacing w:line="240" w:lineRule="auto"/>
              <w:ind w:firstLine="0"/>
              <w:jc w:val="center"/>
              <w:rPr>
                <w:rFonts w:cs="Times New Roman"/>
                <w:szCs w:val="24"/>
              </w:rPr>
            </w:pPr>
            <w:r>
              <w:rPr>
                <w:rFonts w:cs="Times New Roman"/>
                <w:b/>
                <w:szCs w:val="24"/>
              </w:rPr>
              <w:t>Relevant page/ para</w:t>
            </w:r>
          </w:p>
        </w:tc>
      </w:tr>
      <w:tr w:rsidR="00221580" w:rsidRPr="00BA1EB9" w14:paraId="1379E8A2" w14:textId="77777777" w:rsidTr="00221580">
        <w:tc>
          <w:tcPr>
            <w:tcW w:w="0" w:type="auto"/>
          </w:tcPr>
          <w:p w14:paraId="3736EC32" w14:textId="77777777" w:rsidR="00221580" w:rsidRPr="00221580" w:rsidRDefault="00221580" w:rsidP="000453AC">
            <w:pPr>
              <w:pStyle w:val="ListParagraph"/>
              <w:numPr>
                <w:ilvl w:val="0"/>
                <w:numId w:val="18"/>
              </w:numPr>
              <w:spacing w:line="240" w:lineRule="auto"/>
              <w:contextualSpacing w:val="0"/>
              <w:jc w:val="center"/>
              <w:rPr>
                <w:rFonts w:cs="Times New Roman"/>
                <w:szCs w:val="24"/>
              </w:rPr>
            </w:pPr>
          </w:p>
        </w:tc>
        <w:tc>
          <w:tcPr>
            <w:tcW w:w="0" w:type="auto"/>
            <w:vAlign w:val="center"/>
          </w:tcPr>
          <w:p w14:paraId="510FFB5A" w14:textId="5860C434" w:rsidR="00221580" w:rsidRPr="00221580" w:rsidRDefault="00221580" w:rsidP="00221580">
            <w:pPr>
              <w:spacing w:line="240" w:lineRule="auto"/>
              <w:ind w:firstLine="0"/>
              <w:rPr>
                <w:rFonts w:cs="Times New Roman"/>
                <w:szCs w:val="24"/>
              </w:rPr>
            </w:pPr>
            <w:r>
              <w:rPr>
                <w:rFonts w:cs="Times New Roman"/>
                <w:szCs w:val="24"/>
              </w:rPr>
              <w:t xml:space="preserve">Supreme Court of the Russian Federation, Thematic Review No. 8/2026 dated 17 June 2026 </w:t>
            </w:r>
          </w:p>
        </w:tc>
        <w:tc>
          <w:tcPr>
            <w:tcW w:w="0" w:type="auto"/>
            <w:vAlign w:val="center"/>
          </w:tcPr>
          <w:p w14:paraId="6D2A8695" w14:textId="1353E9D1" w:rsidR="00221580" w:rsidRPr="00221580" w:rsidRDefault="00221580" w:rsidP="00221580">
            <w:pPr>
              <w:spacing w:line="240" w:lineRule="auto"/>
              <w:ind w:firstLine="0"/>
              <w:jc w:val="center"/>
              <w:rPr>
                <w:rFonts w:cs="Times New Roman"/>
                <w:szCs w:val="24"/>
              </w:rPr>
            </w:pPr>
            <w:r>
              <w:rPr>
                <w:rFonts w:cs="Times New Roman"/>
                <w:szCs w:val="24"/>
              </w:rPr>
              <w:t>pp. 32-34</w:t>
            </w:r>
          </w:p>
        </w:tc>
      </w:tr>
      <w:tr w:rsidR="00221580" w:rsidRPr="00BA1EB9" w14:paraId="5982E31B" w14:textId="77777777" w:rsidTr="007B2481">
        <w:tc>
          <w:tcPr>
            <w:tcW w:w="0" w:type="auto"/>
            <w:vAlign w:val="center"/>
          </w:tcPr>
          <w:p w14:paraId="61938975"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740D4AEE" w14:textId="179A2387" w:rsidR="00221580" w:rsidRPr="00BA1EB9" w:rsidRDefault="00221580" w:rsidP="00221580">
            <w:pPr>
              <w:spacing w:line="240" w:lineRule="auto"/>
              <w:ind w:firstLine="0"/>
              <w:rPr>
                <w:rFonts w:cs="Times New Roman"/>
                <w:szCs w:val="24"/>
              </w:rPr>
            </w:pPr>
            <w:r>
              <w:rPr>
                <w:rFonts w:cs="Times New Roman"/>
                <w:i/>
                <w:iCs/>
                <w:szCs w:val="24"/>
              </w:rPr>
              <w:t>Neeraj Dutta v State (NCT of Delhi)</w:t>
            </w:r>
            <w:r>
              <w:rPr>
                <w:rFonts w:cs="Times New Roman"/>
                <w:szCs w:val="24"/>
              </w:rPr>
              <w:t xml:space="preserve">, (2023) 4 SCC 731 (SC) (5 Judge Bench) </w:t>
            </w:r>
          </w:p>
        </w:tc>
        <w:tc>
          <w:tcPr>
            <w:tcW w:w="0" w:type="auto"/>
            <w:vAlign w:val="center"/>
          </w:tcPr>
          <w:p w14:paraId="3D008F36" w14:textId="76F7756E" w:rsidR="00221580" w:rsidRPr="00BA1EB9" w:rsidRDefault="00221580" w:rsidP="00221580">
            <w:pPr>
              <w:spacing w:line="240" w:lineRule="auto"/>
              <w:ind w:firstLine="0"/>
              <w:jc w:val="center"/>
              <w:rPr>
                <w:rFonts w:cs="Times New Roman"/>
                <w:szCs w:val="24"/>
              </w:rPr>
            </w:pPr>
            <w:r>
              <w:rPr>
                <w:rFonts w:cs="Times New Roman"/>
                <w:szCs w:val="24"/>
              </w:rPr>
              <w:t>[64]-[70]</w:t>
            </w:r>
          </w:p>
        </w:tc>
      </w:tr>
      <w:tr w:rsidR="00221580" w:rsidRPr="00BA1EB9" w14:paraId="464C57B1" w14:textId="77777777" w:rsidTr="007B2481">
        <w:tc>
          <w:tcPr>
            <w:tcW w:w="0" w:type="auto"/>
            <w:vAlign w:val="center"/>
          </w:tcPr>
          <w:p w14:paraId="46675B49"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0625C7D4" w14:textId="715A9BDD" w:rsidR="00221580" w:rsidRPr="00BA1EB9" w:rsidRDefault="00221580" w:rsidP="00221580">
            <w:pPr>
              <w:spacing w:line="240" w:lineRule="auto"/>
              <w:ind w:firstLine="0"/>
              <w:rPr>
                <w:rFonts w:cs="Times New Roman"/>
                <w:i/>
                <w:iCs/>
                <w:szCs w:val="24"/>
              </w:rPr>
            </w:pPr>
            <w:r>
              <w:rPr>
                <w:rFonts w:cs="Times New Roman"/>
                <w:i/>
                <w:iCs/>
                <w:szCs w:val="24"/>
              </w:rPr>
              <w:t>R. Viswanathan v Rukn-ul-Mulk Syed Abdul Wajid</w:t>
            </w:r>
            <w:r>
              <w:rPr>
                <w:rFonts w:cs="Times New Roman"/>
                <w:szCs w:val="24"/>
              </w:rPr>
              <w:t>, AIR 1963 SC 1 (SC) (3 Judge Bench)</w:t>
            </w:r>
          </w:p>
        </w:tc>
        <w:tc>
          <w:tcPr>
            <w:tcW w:w="0" w:type="auto"/>
            <w:vAlign w:val="center"/>
          </w:tcPr>
          <w:p w14:paraId="726FCE5A" w14:textId="0E60E32B" w:rsidR="00221580" w:rsidRPr="00BA1EB9" w:rsidRDefault="00221580" w:rsidP="00221580">
            <w:pPr>
              <w:spacing w:line="240" w:lineRule="auto"/>
              <w:ind w:firstLine="0"/>
              <w:jc w:val="center"/>
              <w:rPr>
                <w:rFonts w:cs="Times New Roman"/>
                <w:szCs w:val="24"/>
              </w:rPr>
            </w:pPr>
            <w:r>
              <w:rPr>
                <w:rFonts w:cs="Times New Roman"/>
                <w:szCs w:val="24"/>
              </w:rPr>
              <w:t>[14]-[16], [28], [30], [32], [35], [130]-[148]</w:t>
            </w:r>
          </w:p>
        </w:tc>
      </w:tr>
      <w:tr w:rsidR="00221580" w:rsidRPr="00BA1EB9" w14:paraId="65FB4AB9" w14:textId="77777777" w:rsidTr="007B2481">
        <w:tc>
          <w:tcPr>
            <w:tcW w:w="0" w:type="auto"/>
            <w:vAlign w:val="center"/>
          </w:tcPr>
          <w:p w14:paraId="2210C95B"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79096A84" w14:textId="2214AF09" w:rsidR="00221580" w:rsidRPr="00BA1EB9" w:rsidRDefault="00221580" w:rsidP="00221580">
            <w:pPr>
              <w:spacing w:line="240" w:lineRule="auto"/>
              <w:ind w:firstLine="0"/>
              <w:rPr>
                <w:rFonts w:cs="Times New Roman"/>
                <w:i/>
                <w:iCs/>
                <w:szCs w:val="24"/>
              </w:rPr>
            </w:pPr>
            <w:r>
              <w:rPr>
                <w:rFonts w:cs="Times New Roman"/>
                <w:i/>
                <w:iCs/>
                <w:szCs w:val="24"/>
              </w:rPr>
              <w:t>Alcon Electronics Pvt. Ltd. v Celem S.A.</w:t>
            </w:r>
            <w:r>
              <w:rPr>
                <w:rFonts w:cs="Times New Roman"/>
                <w:szCs w:val="24"/>
              </w:rPr>
              <w:t>, (2017) 2 SCC 253 (SC) (DB)</w:t>
            </w:r>
          </w:p>
        </w:tc>
        <w:tc>
          <w:tcPr>
            <w:tcW w:w="0" w:type="auto"/>
            <w:vAlign w:val="center"/>
          </w:tcPr>
          <w:p w14:paraId="79484E93" w14:textId="35F792CF" w:rsidR="00221580" w:rsidRPr="00BA1EB9" w:rsidRDefault="00221580" w:rsidP="00221580">
            <w:pPr>
              <w:spacing w:line="240" w:lineRule="auto"/>
              <w:ind w:firstLine="0"/>
              <w:jc w:val="center"/>
              <w:rPr>
                <w:rFonts w:cs="Times New Roman"/>
                <w:szCs w:val="24"/>
              </w:rPr>
            </w:pPr>
            <w:r>
              <w:rPr>
                <w:rFonts w:cs="Times New Roman"/>
                <w:szCs w:val="24"/>
              </w:rPr>
              <w:t>[13]-[15]</w:t>
            </w:r>
          </w:p>
        </w:tc>
      </w:tr>
      <w:tr w:rsidR="00221580" w:rsidRPr="00BA1EB9" w14:paraId="4C94BAC9" w14:textId="77777777" w:rsidTr="007B2481">
        <w:tc>
          <w:tcPr>
            <w:tcW w:w="0" w:type="auto"/>
            <w:vAlign w:val="center"/>
          </w:tcPr>
          <w:p w14:paraId="07EBBBAA"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798B10C4" w14:textId="3C893517" w:rsidR="00221580" w:rsidRPr="00BA1EB9" w:rsidRDefault="00221580" w:rsidP="00221580">
            <w:pPr>
              <w:spacing w:line="240" w:lineRule="auto"/>
              <w:ind w:firstLine="0"/>
              <w:rPr>
                <w:rFonts w:cs="Times New Roman"/>
                <w:i/>
                <w:iCs/>
                <w:szCs w:val="24"/>
              </w:rPr>
            </w:pPr>
            <w:r>
              <w:rPr>
                <w:rFonts w:cs="Times New Roman"/>
                <w:i/>
                <w:iCs/>
                <w:szCs w:val="24"/>
              </w:rPr>
              <w:t>Dan Bunkering v PFS Shipping</w:t>
            </w:r>
            <w:r>
              <w:rPr>
                <w:rFonts w:cs="Times New Roman"/>
                <w:szCs w:val="24"/>
              </w:rPr>
              <w:t>, (2018) 5 AIR Bom R 116 (BHC) (SJB)</w:t>
            </w:r>
          </w:p>
        </w:tc>
        <w:tc>
          <w:tcPr>
            <w:tcW w:w="0" w:type="auto"/>
            <w:vAlign w:val="center"/>
          </w:tcPr>
          <w:p w14:paraId="670F2F41" w14:textId="76C67D62" w:rsidR="00221580" w:rsidRDefault="00221580" w:rsidP="00221580">
            <w:pPr>
              <w:spacing w:line="240" w:lineRule="auto"/>
              <w:ind w:firstLine="0"/>
              <w:jc w:val="center"/>
              <w:rPr>
                <w:rFonts w:cs="Times New Roman"/>
                <w:szCs w:val="24"/>
              </w:rPr>
            </w:pPr>
            <w:r>
              <w:rPr>
                <w:rFonts w:cs="Times New Roman"/>
                <w:szCs w:val="24"/>
              </w:rPr>
              <w:t>[16]</w:t>
            </w:r>
          </w:p>
        </w:tc>
      </w:tr>
      <w:tr w:rsidR="00221580" w:rsidRPr="00BA1EB9" w14:paraId="27ECC094" w14:textId="77777777" w:rsidTr="007B2481">
        <w:tc>
          <w:tcPr>
            <w:tcW w:w="0" w:type="auto"/>
            <w:vAlign w:val="center"/>
          </w:tcPr>
          <w:p w14:paraId="0D4F7082"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3B9BDBB5" w14:textId="5B376345" w:rsidR="00221580" w:rsidRPr="00BA1EB9" w:rsidRDefault="00221580" w:rsidP="00221580">
            <w:pPr>
              <w:spacing w:line="240" w:lineRule="auto"/>
              <w:ind w:firstLine="0"/>
              <w:rPr>
                <w:rFonts w:cs="Times New Roman"/>
                <w:szCs w:val="24"/>
              </w:rPr>
            </w:pPr>
            <w:r>
              <w:rPr>
                <w:rFonts w:cs="Times New Roman"/>
                <w:i/>
                <w:iCs/>
                <w:szCs w:val="24"/>
              </w:rPr>
              <w:t>Sodhi Transport Co. v State of U.P.</w:t>
            </w:r>
            <w:r>
              <w:rPr>
                <w:rFonts w:cs="Times New Roman"/>
                <w:szCs w:val="24"/>
              </w:rPr>
              <w:t>, (1986) 2 SCC 486 (SC) (DB)</w:t>
            </w:r>
          </w:p>
        </w:tc>
        <w:tc>
          <w:tcPr>
            <w:tcW w:w="0" w:type="auto"/>
            <w:vAlign w:val="center"/>
          </w:tcPr>
          <w:p w14:paraId="6548763C" w14:textId="75C7CCCA" w:rsidR="00221580" w:rsidRPr="00BA1EB9" w:rsidRDefault="00221580" w:rsidP="00221580">
            <w:pPr>
              <w:spacing w:line="240" w:lineRule="auto"/>
              <w:ind w:firstLine="0"/>
              <w:jc w:val="center"/>
              <w:rPr>
                <w:rFonts w:cs="Times New Roman"/>
                <w:szCs w:val="24"/>
              </w:rPr>
            </w:pPr>
            <w:r>
              <w:rPr>
                <w:rFonts w:cs="Times New Roman"/>
                <w:szCs w:val="24"/>
              </w:rPr>
              <w:t>[11]-[16]</w:t>
            </w:r>
          </w:p>
        </w:tc>
      </w:tr>
      <w:tr w:rsidR="00221580" w:rsidRPr="00BA1EB9" w14:paraId="647023A4" w14:textId="77777777" w:rsidTr="007B2481">
        <w:tc>
          <w:tcPr>
            <w:tcW w:w="0" w:type="auto"/>
            <w:vAlign w:val="center"/>
          </w:tcPr>
          <w:p w14:paraId="4FA06094"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56A5F8B0" w14:textId="19F31D8D" w:rsidR="00221580" w:rsidRPr="00BA1EB9" w:rsidRDefault="00221580" w:rsidP="00221580">
            <w:pPr>
              <w:spacing w:line="240" w:lineRule="auto"/>
              <w:ind w:firstLine="0"/>
              <w:rPr>
                <w:rFonts w:cs="Times New Roman"/>
                <w:i/>
                <w:iCs/>
                <w:szCs w:val="24"/>
              </w:rPr>
            </w:pPr>
            <w:r>
              <w:rPr>
                <w:i/>
                <w:iCs/>
              </w:rPr>
              <w:t>Kumar Exports v Sharma Carpets,</w:t>
            </w:r>
            <w:r>
              <w:t xml:space="preserve"> (2009) 2 SCC 513 (DB)</w:t>
            </w:r>
          </w:p>
        </w:tc>
        <w:tc>
          <w:tcPr>
            <w:tcW w:w="0" w:type="auto"/>
            <w:vAlign w:val="center"/>
          </w:tcPr>
          <w:p w14:paraId="3842597F" w14:textId="76AD3E1C" w:rsidR="00221580" w:rsidRPr="00BA1EB9" w:rsidRDefault="00221580" w:rsidP="00221580">
            <w:pPr>
              <w:spacing w:line="240" w:lineRule="auto"/>
              <w:ind w:firstLine="0"/>
              <w:jc w:val="center"/>
              <w:rPr>
                <w:rFonts w:cs="Times New Roman"/>
                <w:szCs w:val="24"/>
              </w:rPr>
            </w:pPr>
            <w:r>
              <w:rPr>
                <w:rFonts w:cs="Times New Roman"/>
                <w:szCs w:val="24"/>
              </w:rPr>
              <w:t>[9]-[11]</w:t>
            </w:r>
          </w:p>
        </w:tc>
      </w:tr>
      <w:tr w:rsidR="00221580" w:rsidRPr="00BA1EB9" w14:paraId="0B4401A6" w14:textId="77777777" w:rsidTr="007B2481">
        <w:tc>
          <w:tcPr>
            <w:tcW w:w="0" w:type="auto"/>
            <w:vAlign w:val="center"/>
          </w:tcPr>
          <w:p w14:paraId="40A4AD01"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088DE4E5" w14:textId="2FF1021A" w:rsidR="00221580" w:rsidRPr="00BA1EB9" w:rsidRDefault="00221580" w:rsidP="00221580">
            <w:pPr>
              <w:spacing w:line="240" w:lineRule="auto"/>
              <w:ind w:firstLine="0"/>
              <w:rPr>
                <w:rFonts w:cs="Times New Roman"/>
                <w:szCs w:val="24"/>
              </w:rPr>
            </w:pPr>
            <w:r>
              <w:rPr>
                <w:rFonts w:cs="Times New Roman"/>
                <w:i/>
                <w:iCs/>
                <w:szCs w:val="24"/>
              </w:rPr>
              <w:t>Rangappa v Sri Mohan</w:t>
            </w:r>
            <w:r>
              <w:rPr>
                <w:rFonts w:cs="Times New Roman"/>
                <w:szCs w:val="24"/>
              </w:rPr>
              <w:t>, (2010) 11 SCC 441 (SC) (3 Judge Bench)</w:t>
            </w:r>
          </w:p>
        </w:tc>
        <w:tc>
          <w:tcPr>
            <w:tcW w:w="0" w:type="auto"/>
            <w:vAlign w:val="center"/>
          </w:tcPr>
          <w:p w14:paraId="4692DD63" w14:textId="39A8E8A3" w:rsidR="00221580" w:rsidRPr="00BA1EB9" w:rsidRDefault="00221580" w:rsidP="00221580">
            <w:pPr>
              <w:spacing w:line="240" w:lineRule="auto"/>
              <w:ind w:firstLine="0"/>
              <w:jc w:val="center"/>
              <w:rPr>
                <w:rFonts w:cs="Times New Roman"/>
                <w:szCs w:val="24"/>
              </w:rPr>
            </w:pPr>
            <w:r>
              <w:rPr>
                <w:rFonts w:cs="Times New Roman"/>
                <w:szCs w:val="24"/>
              </w:rPr>
              <w:t>[26]-[30]</w:t>
            </w:r>
          </w:p>
        </w:tc>
      </w:tr>
      <w:tr w:rsidR="00221580" w:rsidRPr="00BA1EB9" w14:paraId="0AD0966C" w14:textId="77777777" w:rsidTr="007B2481">
        <w:tc>
          <w:tcPr>
            <w:tcW w:w="0" w:type="auto"/>
            <w:vAlign w:val="center"/>
          </w:tcPr>
          <w:p w14:paraId="4AFFF93F"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5909CBB7" w14:textId="59E9C742" w:rsidR="00221580" w:rsidRPr="00BA1EB9" w:rsidRDefault="00221580" w:rsidP="00221580">
            <w:pPr>
              <w:spacing w:line="240" w:lineRule="auto"/>
              <w:ind w:firstLine="0"/>
              <w:rPr>
                <w:rFonts w:cs="Times New Roman"/>
                <w:szCs w:val="24"/>
              </w:rPr>
            </w:pPr>
            <w:r>
              <w:rPr>
                <w:rFonts w:cs="Times New Roman"/>
                <w:i/>
                <w:iCs/>
                <w:szCs w:val="24"/>
              </w:rPr>
              <w:t>Renuka v State of Maharashtra</w:t>
            </w:r>
            <w:r>
              <w:rPr>
                <w:rFonts w:cs="Times New Roman"/>
                <w:szCs w:val="24"/>
              </w:rPr>
              <w:t>, 2026 SCC OnLine SC 533 (SC) (DB)</w:t>
            </w:r>
          </w:p>
        </w:tc>
        <w:tc>
          <w:tcPr>
            <w:tcW w:w="0" w:type="auto"/>
            <w:vAlign w:val="center"/>
          </w:tcPr>
          <w:p w14:paraId="67D8FF8C" w14:textId="1FF19A12" w:rsidR="00221580" w:rsidRPr="00BA1EB9" w:rsidRDefault="00221580" w:rsidP="00221580">
            <w:pPr>
              <w:spacing w:line="240" w:lineRule="auto"/>
              <w:ind w:firstLine="0"/>
              <w:jc w:val="center"/>
              <w:rPr>
                <w:rFonts w:cs="Times New Roman"/>
                <w:szCs w:val="24"/>
              </w:rPr>
            </w:pPr>
            <w:r>
              <w:rPr>
                <w:rFonts w:cs="Times New Roman"/>
                <w:szCs w:val="24"/>
              </w:rPr>
              <w:t>[8]-[10]</w:t>
            </w:r>
          </w:p>
        </w:tc>
      </w:tr>
      <w:tr w:rsidR="00221580" w:rsidRPr="00BA1EB9" w14:paraId="7BD23B53" w14:textId="77777777" w:rsidTr="007B2481">
        <w:tc>
          <w:tcPr>
            <w:tcW w:w="0" w:type="auto"/>
            <w:vAlign w:val="center"/>
          </w:tcPr>
          <w:p w14:paraId="6C064A26"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485785B2" w14:textId="36752F6D" w:rsidR="00221580" w:rsidRPr="00BA1EB9" w:rsidRDefault="00221580" w:rsidP="00221580">
            <w:pPr>
              <w:spacing w:line="240" w:lineRule="auto"/>
              <w:ind w:firstLine="0"/>
              <w:rPr>
                <w:rFonts w:cs="Times New Roman"/>
                <w:szCs w:val="24"/>
              </w:rPr>
            </w:pPr>
            <w:r>
              <w:rPr>
                <w:rFonts w:cs="Times New Roman"/>
                <w:i/>
                <w:iCs/>
                <w:szCs w:val="24"/>
              </w:rPr>
              <w:t>Brijlal Ramjidas v Govindram Gordhandas Seksaria</w:t>
            </w:r>
            <w:r>
              <w:rPr>
                <w:rFonts w:cs="Times New Roman"/>
                <w:szCs w:val="24"/>
              </w:rPr>
              <w:t>, ILR 1947 Bom 563 (PC) (5 Judge Bench)</w:t>
            </w:r>
          </w:p>
        </w:tc>
        <w:tc>
          <w:tcPr>
            <w:tcW w:w="0" w:type="auto"/>
            <w:vAlign w:val="center"/>
          </w:tcPr>
          <w:p w14:paraId="60B0DB19" w14:textId="0D084710" w:rsidR="00221580" w:rsidRPr="00BA1EB9" w:rsidRDefault="00221580" w:rsidP="00221580">
            <w:pPr>
              <w:spacing w:line="240" w:lineRule="auto"/>
              <w:ind w:firstLine="0"/>
              <w:jc w:val="center"/>
              <w:rPr>
                <w:rFonts w:cs="Times New Roman"/>
                <w:szCs w:val="24"/>
              </w:rPr>
            </w:pPr>
            <w:r>
              <w:rPr>
                <w:rFonts w:cs="Times New Roman"/>
                <w:szCs w:val="24"/>
              </w:rPr>
              <w:t>pp. 571-573</w:t>
            </w:r>
          </w:p>
        </w:tc>
      </w:tr>
      <w:tr w:rsidR="00221580" w:rsidRPr="00BA1EB9" w14:paraId="7B7728D4" w14:textId="77777777" w:rsidTr="007B2481">
        <w:tc>
          <w:tcPr>
            <w:tcW w:w="0" w:type="auto"/>
            <w:vAlign w:val="center"/>
          </w:tcPr>
          <w:p w14:paraId="4B3AD8E9"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2BA042EE" w14:textId="2481E9A8" w:rsidR="00221580" w:rsidRPr="00BA1EB9" w:rsidRDefault="00221580" w:rsidP="00221580">
            <w:pPr>
              <w:spacing w:line="240" w:lineRule="auto"/>
              <w:ind w:firstLine="0"/>
              <w:rPr>
                <w:rFonts w:cs="Times New Roman"/>
                <w:szCs w:val="24"/>
              </w:rPr>
            </w:pPr>
            <w:r>
              <w:rPr>
                <w:rFonts w:cs="Times New Roman"/>
                <w:i/>
                <w:iCs/>
                <w:szCs w:val="24"/>
              </w:rPr>
              <w:t>V. Subramania Iyer v S.C. Annasami Iyer</w:t>
            </w:r>
            <w:r>
              <w:rPr>
                <w:rFonts w:cs="Times New Roman"/>
                <w:szCs w:val="24"/>
              </w:rPr>
              <w:t>, 1947 SCC OnLine Mad 17 (Madras HC) (SJB)</w:t>
            </w:r>
          </w:p>
        </w:tc>
        <w:tc>
          <w:tcPr>
            <w:tcW w:w="0" w:type="auto"/>
            <w:vAlign w:val="center"/>
          </w:tcPr>
          <w:p w14:paraId="3E346799" w14:textId="77777777" w:rsidR="00221580" w:rsidRPr="00BA1EB9" w:rsidRDefault="00221580" w:rsidP="00221580">
            <w:pPr>
              <w:spacing w:line="240" w:lineRule="auto"/>
              <w:ind w:firstLine="0"/>
              <w:jc w:val="center"/>
              <w:rPr>
                <w:rFonts w:cs="Times New Roman"/>
                <w:szCs w:val="24"/>
              </w:rPr>
            </w:pPr>
            <w:r>
              <w:rPr>
                <w:rFonts w:cs="Times New Roman"/>
                <w:szCs w:val="24"/>
              </w:rPr>
              <w:t>pp. 578-579</w:t>
            </w:r>
          </w:p>
        </w:tc>
      </w:tr>
      <w:tr w:rsidR="00221580" w:rsidRPr="00BA1EB9" w14:paraId="118F116C" w14:textId="77777777" w:rsidTr="007B2481">
        <w:tc>
          <w:tcPr>
            <w:tcW w:w="0" w:type="auto"/>
            <w:vAlign w:val="center"/>
          </w:tcPr>
          <w:p w14:paraId="25663B76"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5E03EDD0" w14:textId="52D626FE" w:rsidR="00221580" w:rsidRPr="00BA1EB9" w:rsidRDefault="00221580" w:rsidP="00221580">
            <w:pPr>
              <w:spacing w:line="240" w:lineRule="auto"/>
              <w:ind w:firstLine="0"/>
              <w:rPr>
                <w:rFonts w:cs="Times New Roman"/>
                <w:szCs w:val="24"/>
              </w:rPr>
            </w:pPr>
            <w:r>
              <w:rPr>
                <w:rFonts w:cs="Times New Roman"/>
                <w:i/>
                <w:iCs/>
                <w:szCs w:val="24"/>
              </w:rPr>
              <w:t>R.R. Enterprises v CMD, Garware-Wall Ropes Ltd.</w:t>
            </w:r>
            <w:r>
              <w:rPr>
                <w:rFonts w:cs="Times New Roman"/>
                <w:szCs w:val="24"/>
              </w:rPr>
              <w:t>, ILR (2013) I Delhi 248 (DHC) (SJB)</w:t>
            </w:r>
          </w:p>
        </w:tc>
        <w:tc>
          <w:tcPr>
            <w:tcW w:w="0" w:type="auto"/>
            <w:vAlign w:val="center"/>
          </w:tcPr>
          <w:p w14:paraId="57C73D7F" w14:textId="77777777" w:rsidR="00221580" w:rsidRPr="00BA1EB9" w:rsidRDefault="00221580" w:rsidP="00221580">
            <w:pPr>
              <w:spacing w:line="240" w:lineRule="auto"/>
              <w:ind w:firstLine="0"/>
              <w:jc w:val="center"/>
              <w:rPr>
                <w:rFonts w:cs="Times New Roman"/>
                <w:szCs w:val="24"/>
              </w:rPr>
            </w:pPr>
            <w:r>
              <w:rPr>
                <w:rFonts w:cs="Times New Roman"/>
                <w:szCs w:val="24"/>
              </w:rPr>
              <w:t>[5]-[6]</w:t>
            </w:r>
          </w:p>
        </w:tc>
      </w:tr>
      <w:tr w:rsidR="00221580" w:rsidRPr="00BA1EB9" w14:paraId="09CF3489" w14:textId="77777777" w:rsidTr="007B2481">
        <w:tc>
          <w:tcPr>
            <w:tcW w:w="0" w:type="auto"/>
            <w:vAlign w:val="center"/>
          </w:tcPr>
          <w:p w14:paraId="389C1F5F"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586C4FC2" w14:textId="09696B82" w:rsidR="00221580" w:rsidRPr="00BA1EB9" w:rsidRDefault="00221580" w:rsidP="00221580">
            <w:pPr>
              <w:spacing w:line="240" w:lineRule="auto"/>
              <w:ind w:firstLine="0"/>
              <w:rPr>
                <w:rFonts w:cs="Times New Roman"/>
                <w:szCs w:val="24"/>
              </w:rPr>
            </w:pPr>
            <w:r>
              <w:rPr>
                <w:rFonts w:cs="Times New Roman"/>
                <w:i/>
                <w:iCs/>
                <w:szCs w:val="24"/>
              </w:rPr>
              <w:t>Ramji Dayawala &amp; Sons (P) Ltd. v Invest Import</w:t>
            </w:r>
            <w:r>
              <w:rPr>
                <w:rFonts w:cs="Times New Roman"/>
                <w:szCs w:val="24"/>
              </w:rPr>
              <w:t>, (1981) 1 SCC 80 (SC) (DB)</w:t>
            </w:r>
          </w:p>
        </w:tc>
        <w:tc>
          <w:tcPr>
            <w:tcW w:w="0" w:type="auto"/>
            <w:vAlign w:val="center"/>
          </w:tcPr>
          <w:p w14:paraId="4E3CB3EC" w14:textId="119AF706" w:rsidR="00221580" w:rsidRPr="00BA1EB9" w:rsidRDefault="00221580" w:rsidP="00221580">
            <w:pPr>
              <w:spacing w:line="240" w:lineRule="auto"/>
              <w:ind w:firstLine="0"/>
              <w:jc w:val="center"/>
              <w:rPr>
                <w:rFonts w:cs="Times New Roman"/>
                <w:szCs w:val="24"/>
              </w:rPr>
            </w:pPr>
            <w:r>
              <w:rPr>
                <w:rFonts w:cs="Times New Roman"/>
                <w:szCs w:val="24"/>
              </w:rPr>
              <w:t>[26]-[29]</w:t>
            </w:r>
          </w:p>
        </w:tc>
      </w:tr>
      <w:tr w:rsidR="00221580" w:rsidRPr="00BA1EB9" w14:paraId="03D67287" w14:textId="77777777" w:rsidTr="007B2481">
        <w:tc>
          <w:tcPr>
            <w:tcW w:w="0" w:type="auto"/>
            <w:vAlign w:val="center"/>
          </w:tcPr>
          <w:p w14:paraId="185C331C"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24216BC0" w14:textId="1FCE1C10" w:rsidR="00221580" w:rsidRPr="00BA1EB9" w:rsidRDefault="00221580" w:rsidP="00221580">
            <w:pPr>
              <w:spacing w:line="240" w:lineRule="auto"/>
              <w:ind w:firstLine="0"/>
              <w:rPr>
                <w:rFonts w:cs="Times New Roman"/>
                <w:szCs w:val="24"/>
              </w:rPr>
            </w:pPr>
            <w:r>
              <w:rPr>
                <w:rFonts w:cs="Times New Roman"/>
                <w:i/>
                <w:iCs/>
                <w:szCs w:val="24"/>
              </w:rPr>
              <w:t>Kewal Ashokbhai Vasoya v Suarabhakti Goods Pvt. Ltd.</w:t>
            </w:r>
            <w:r>
              <w:rPr>
                <w:rFonts w:cs="Times New Roman"/>
                <w:szCs w:val="24"/>
              </w:rPr>
              <w:t>, 2022 SCC OnLine Bom 3335 (BHC) (DB)</w:t>
            </w:r>
          </w:p>
        </w:tc>
        <w:tc>
          <w:tcPr>
            <w:tcW w:w="0" w:type="auto"/>
            <w:vAlign w:val="center"/>
          </w:tcPr>
          <w:p w14:paraId="312F6F88" w14:textId="77777777" w:rsidR="00221580" w:rsidRPr="00BA1EB9" w:rsidRDefault="00221580" w:rsidP="00221580">
            <w:pPr>
              <w:spacing w:line="240" w:lineRule="auto"/>
              <w:ind w:firstLine="0"/>
              <w:jc w:val="center"/>
              <w:rPr>
                <w:rFonts w:cs="Times New Roman"/>
                <w:szCs w:val="24"/>
              </w:rPr>
            </w:pPr>
            <w:r>
              <w:rPr>
                <w:rFonts w:cs="Times New Roman"/>
                <w:szCs w:val="24"/>
              </w:rPr>
              <w:t>[16]-[17], [26]-[27]</w:t>
            </w:r>
          </w:p>
        </w:tc>
      </w:tr>
      <w:tr w:rsidR="00221580" w:rsidRPr="00BA1EB9" w14:paraId="6346ECA3" w14:textId="77777777" w:rsidTr="007B2481">
        <w:tc>
          <w:tcPr>
            <w:tcW w:w="0" w:type="auto"/>
            <w:vAlign w:val="center"/>
          </w:tcPr>
          <w:p w14:paraId="6231998D"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23DC8F3D" w14:textId="75BCCADD" w:rsidR="00221580" w:rsidRPr="00BA1EB9" w:rsidRDefault="00221580" w:rsidP="00221580">
            <w:pPr>
              <w:spacing w:line="240" w:lineRule="auto"/>
              <w:ind w:firstLine="0"/>
              <w:rPr>
                <w:rFonts w:cs="Times New Roman"/>
                <w:i/>
                <w:iCs/>
                <w:szCs w:val="24"/>
              </w:rPr>
            </w:pPr>
            <w:r>
              <w:rPr>
                <w:rFonts w:cs="Times New Roman"/>
                <w:i/>
                <w:iCs/>
                <w:szCs w:val="24"/>
              </w:rPr>
              <w:t>Amar Singh v Union of India</w:t>
            </w:r>
            <w:r>
              <w:rPr>
                <w:rFonts w:cs="Times New Roman"/>
                <w:szCs w:val="24"/>
              </w:rPr>
              <w:t>, (2011) 7 SCC 69 (SC) (DB)</w:t>
            </w:r>
          </w:p>
        </w:tc>
        <w:tc>
          <w:tcPr>
            <w:tcW w:w="0" w:type="auto"/>
            <w:vAlign w:val="center"/>
          </w:tcPr>
          <w:p w14:paraId="5F6FE8E8" w14:textId="66BF8641" w:rsidR="00221580" w:rsidRPr="00BA1EB9" w:rsidRDefault="00221580" w:rsidP="00221580">
            <w:pPr>
              <w:spacing w:line="240" w:lineRule="auto"/>
              <w:ind w:firstLine="0"/>
              <w:jc w:val="center"/>
              <w:rPr>
                <w:rFonts w:cs="Times New Roman"/>
                <w:szCs w:val="24"/>
              </w:rPr>
            </w:pPr>
            <w:r>
              <w:rPr>
                <w:rFonts w:cs="Times New Roman"/>
                <w:szCs w:val="24"/>
              </w:rPr>
              <w:t>[55]-[58]</w:t>
            </w:r>
          </w:p>
        </w:tc>
      </w:tr>
      <w:tr w:rsidR="00221580" w:rsidRPr="00BA1EB9" w14:paraId="50A2829A" w14:textId="77777777" w:rsidTr="007B2481">
        <w:tc>
          <w:tcPr>
            <w:tcW w:w="0" w:type="auto"/>
            <w:vAlign w:val="center"/>
          </w:tcPr>
          <w:p w14:paraId="54F44868" w14:textId="77777777" w:rsidR="00221580" w:rsidRPr="00BA1EB9" w:rsidRDefault="00221580" w:rsidP="00221580">
            <w:pPr>
              <w:pStyle w:val="ListParagraph"/>
              <w:numPr>
                <w:ilvl w:val="0"/>
                <w:numId w:val="18"/>
              </w:numPr>
              <w:spacing w:line="240" w:lineRule="auto"/>
              <w:contextualSpacing w:val="0"/>
              <w:jc w:val="center"/>
              <w:rPr>
                <w:rFonts w:cs="Times New Roman"/>
                <w:szCs w:val="24"/>
              </w:rPr>
            </w:pPr>
          </w:p>
        </w:tc>
        <w:tc>
          <w:tcPr>
            <w:tcW w:w="0" w:type="auto"/>
            <w:vAlign w:val="center"/>
          </w:tcPr>
          <w:p w14:paraId="3A8AB3CB" w14:textId="36B86350" w:rsidR="00221580" w:rsidRPr="00BA1EB9" w:rsidRDefault="00221580" w:rsidP="00221580">
            <w:pPr>
              <w:spacing w:line="240" w:lineRule="auto"/>
              <w:ind w:firstLine="0"/>
              <w:rPr>
                <w:rFonts w:cs="Times New Roman"/>
                <w:szCs w:val="24"/>
              </w:rPr>
            </w:pPr>
            <w:r>
              <w:rPr>
                <w:rFonts w:cs="Times New Roman"/>
                <w:i/>
                <w:iCs/>
                <w:szCs w:val="24"/>
              </w:rPr>
              <w:t>Future Corporate Resources Pvt Ltd v Edelweiss and Ors.,</w:t>
            </w:r>
            <w:r>
              <w:rPr>
                <w:rFonts w:cs="Times New Roman"/>
                <w:szCs w:val="24"/>
              </w:rPr>
              <w:t xml:space="preserve"> 2022 SCC OnLine Bom 3744 (BHC) (DB)</w:t>
            </w:r>
          </w:p>
        </w:tc>
        <w:tc>
          <w:tcPr>
            <w:tcW w:w="0" w:type="auto"/>
            <w:vAlign w:val="center"/>
          </w:tcPr>
          <w:p w14:paraId="76204FCE" w14:textId="77777777" w:rsidR="00221580" w:rsidRPr="00BA1EB9" w:rsidRDefault="00221580" w:rsidP="00221580">
            <w:pPr>
              <w:spacing w:line="240" w:lineRule="auto"/>
              <w:ind w:firstLine="0"/>
              <w:jc w:val="center"/>
              <w:rPr>
                <w:rFonts w:cs="Times New Roman"/>
                <w:szCs w:val="24"/>
              </w:rPr>
            </w:pPr>
            <w:r>
              <w:rPr>
                <w:rFonts w:cs="Times New Roman"/>
                <w:szCs w:val="24"/>
              </w:rPr>
              <w:t>[38]</w:t>
            </w:r>
          </w:p>
        </w:tc>
      </w:tr>
      <w:tr w:rsidR="00221580" w14:paraId="22ACDE0B" w14:textId="77777777" w:rsidTr="007B2481">
        <w:tc>
          <w:tcPr>
            <w:tcW w:w="0" w:type="auto"/>
            <w:vAlign w:val="center"/>
          </w:tcPr>
          <w:p w14:paraId="3B20AC40" w14:textId="77777777" w:rsidR="00221580" w:rsidRDefault="00221580" w:rsidP="00221580">
            <w:pPr>
              <w:pStyle w:val="ListParagraph"/>
              <w:numPr>
                <w:ilvl w:val="0"/>
                <w:numId w:val="18"/>
              </w:numPr>
              <w:spacing w:line="240" w:lineRule="auto"/>
              <w:contextualSpacing w:val="0"/>
              <w:jc w:val="center"/>
            </w:pPr>
          </w:p>
        </w:tc>
        <w:tc>
          <w:tcPr>
            <w:tcW w:w="0" w:type="auto"/>
            <w:vAlign w:val="center"/>
          </w:tcPr>
          <w:p w14:paraId="17E2E0DB" w14:textId="2710CCFD" w:rsidR="00221580" w:rsidRDefault="00221580" w:rsidP="00221580">
            <w:pPr>
              <w:spacing w:line="240" w:lineRule="auto"/>
              <w:ind w:firstLine="0"/>
            </w:pPr>
            <w:r>
              <w:rPr>
                <w:rFonts w:cs="Times New Roman"/>
                <w:i/>
                <w:iCs/>
                <w:szCs w:val="24"/>
              </w:rPr>
              <w:t>V/O Tractoroexport, Moscow v Tarapore &amp; Co.</w:t>
            </w:r>
            <w:r>
              <w:rPr>
                <w:rFonts w:cs="Times New Roman"/>
                <w:szCs w:val="24"/>
              </w:rPr>
              <w:t>, (1969) 3 SCC 562 (SC) (DB)</w:t>
            </w:r>
          </w:p>
        </w:tc>
        <w:tc>
          <w:tcPr>
            <w:tcW w:w="0" w:type="auto"/>
            <w:vAlign w:val="center"/>
          </w:tcPr>
          <w:p w14:paraId="22A6ED91" w14:textId="26DB6855" w:rsidR="00221580" w:rsidRDefault="00221580" w:rsidP="00221580">
            <w:pPr>
              <w:spacing w:line="240" w:lineRule="auto"/>
              <w:ind w:firstLine="0"/>
              <w:jc w:val="center"/>
            </w:pPr>
            <w:r>
              <w:rPr>
                <w:rFonts w:cs="Times New Roman"/>
                <w:szCs w:val="24"/>
              </w:rPr>
              <w:t>[28]-[29]</w:t>
            </w:r>
          </w:p>
        </w:tc>
      </w:tr>
      <w:tr w:rsidR="00221580" w14:paraId="76B78F65" w14:textId="77777777" w:rsidTr="007B2481">
        <w:tc>
          <w:tcPr>
            <w:tcW w:w="0" w:type="auto"/>
            <w:vAlign w:val="center"/>
          </w:tcPr>
          <w:p w14:paraId="4F6B3E8B" w14:textId="77777777" w:rsidR="00221580" w:rsidRDefault="00221580" w:rsidP="00221580">
            <w:pPr>
              <w:pStyle w:val="ListParagraph"/>
              <w:numPr>
                <w:ilvl w:val="0"/>
                <w:numId w:val="18"/>
              </w:numPr>
              <w:spacing w:line="240" w:lineRule="auto"/>
              <w:contextualSpacing w:val="0"/>
              <w:jc w:val="center"/>
            </w:pPr>
          </w:p>
        </w:tc>
        <w:tc>
          <w:tcPr>
            <w:tcW w:w="0" w:type="auto"/>
            <w:vAlign w:val="center"/>
          </w:tcPr>
          <w:p w14:paraId="49F7A6A1" w14:textId="228D85E8" w:rsidR="00221580" w:rsidRDefault="00221580" w:rsidP="00221580">
            <w:pPr>
              <w:spacing w:line="240" w:lineRule="auto"/>
              <w:ind w:firstLine="0"/>
            </w:pPr>
            <w:r>
              <w:rPr>
                <w:rFonts w:cs="Times New Roman"/>
                <w:i/>
                <w:iCs/>
                <w:szCs w:val="24"/>
              </w:rPr>
              <w:t>Oren Hydrocarbons Pvt. Ltd. v MSC Mediterranean Shipping Co. S.A.</w:t>
            </w:r>
            <w:r>
              <w:rPr>
                <w:rFonts w:cs="Times New Roman"/>
                <w:szCs w:val="24"/>
              </w:rPr>
              <w:t>, (2019) 6 CTC 549 (Madras HC) (SJB)</w:t>
            </w:r>
          </w:p>
        </w:tc>
        <w:tc>
          <w:tcPr>
            <w:tcW w:w="0" w:type="auto"/>
            <w:vAlign w:val="center"/>
          </w:tcPr>
          <w:p w14:paraId="1F12BBB7" w14:textId="2CB2FD31" w:rsidR="00221580" w:rsidRDefault="00221580" w:rsidP="00221580">
            <w:pPr>
              <w:spacing w:line="240" w:lineRule="auto"/>
              <w:ind w:firstLine="0"/>
              <w:jc w:val="center"/>
            </w:pPr>
            <w:r>
              <w:rPr>
                <w:rFonts w:cs="Times New Roman"/>
                <w:szCs w:val="24"/>
              </w:rPr>
              <w:t>[14]-[15]</w:t>
            </w:r>
          </w:p>
        </w:tc>
      </w:tr>
    </w:tbl>
    <w:p w14:paraId="783F80E7" w14:textId="77777777" w:rsidR="00AC31BA" w:rsidRPr="00BA1EB9" w:rsidRDefault="00AC31BA" w:rsidP="007B2481">
      <w:pPr>
        <w:ind w:left="357" w:hanging="357"/>
        <w:jc w:val="center"/>
        <w:rPr>
          <w:rFonts w:cs="Times New Roman"/>
          <w:b/>
          <w:kern w:val="2"/>
          <w:szCs w:val="24"/>
          <w14:ligatures w14:val="standardContextual"/>
        </w:rPr>
      </w:pPr>
    </w:p>
    <w:p w14:paraId="37410E50" w14:textId="77777777" w:rsidR="00AC31BA" w:rsidRPr="00BA1EB9" w:rsidRDefault="00AC31BA" w:rsidP="007B2481">
      <w:pPr>
        <w:rPr>
          <w:rFonts w:cs="Times New Roman"/>
          <w:szCs w:val="24"/>
        </w:rPr>
      </w:pPr>
    </w:p>
    <w:sectPr w:rsidR="00AC31BA" w:rsidRPr="00BA1EB9">
      <w:headerReference w:type="default" r:id="rId12"/>
      <w:footerReference w:type="default" r:id="rId13"/>
      <w:headerReference w:type="first" r:id="rId14"/>
      <w:footerReference w:type="first" r:id="rId15"/>
      <w:pgSz w:w="11906" w:h="16838"/>
      <w:pgMar w:top="1440" w:right="1440" w:bottom="1440" w:left="1440" w:header="720" w:footer="72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laude" w:date="2026-07-20T06:06:00Z" w:initials="C">
    <w:p w14:paraId="78697B74" w14:textId="77777777" w:rsidR="002527F4" w:rsidRDefault="00000000">
      <w:r>
        <w:rPr>
          <w:rStyle w:val="CommentReference"/>
        </w:rPr>
        <w:annotationRef/>
      </w:r>
      <w:r>
        <w:rPr>
          <w:color w:val="000000"/>
          <w:sz w:val="20"/>
          <w:szCs w:val="20"/>
        </w:rPr>
        <w:t>CONTENT INSERT - Recording Note para 12: After the Dan Bunkering paragraph and before the Oren Hydrocarbons paragraph, add the Court's own observation: The Court noted that the relevant distinction was whether the foreign court finally adjudicated the matter before it and not the reasons supporting such adjudication - Section 13 CPC attaches conclusiveness to the adjudicated matter not to each step in the foreign court's reasoning. This should be woven into the existing text explaining why the Moscow Commercial Court's jurisdiction finding cannot be re-examined.</w:t>
      </w:r>
    </w:p>
  </w:comment>
  <w:comment w:id="6" w:author="Claude" w:date="2026-07-20T06:06:00Z" w:initials="C">
    <w:p w14:paraId="1D0DE8D1" w14:textId="77777777" w:rsidR="002527F4" w:rsidRDefault="00000000">
      <w:r>
        <w:rPr>
          <w:rStyle w:val="CommentReference"/>
        </w:rPr>
        <w:annotationRef/>
      </w:r>
      <w:r>
        <w:rPr>
          <w:color w:val="000000"/>
          <w:sz w:val="20"/>
          <w:szCs w:val="20"/>
        </w:rPr>
        <w:t>CONTENT INSERT - Recording Note para 11(b) and para 16: Two additions needed near the competence/international-sense section. First (para 11(b)): add 'the relevant question is only whether the foreign court's assumption of jurisdiction is unacceptable in the international sense and not whether Indian law would have reached the same result'. Second (para 16): Oren Hydrocarbons (2019) 6 CTC 549 at [14]-[15] should be cited in the body text after Brijlal Ramjidas para - for the proposition that a party who participated before the foreign court and received a judgment on merits cannot re-agitate the same factual issues in India.</w:t>
      </w:r>
    </w:p>
  </w:comment>
  <w:comment w:id="7" w:author="Claude" w:date="2026-07-20T06:06:00Z" w:initials="C">
    <w:p w14:paraId="2ADD7A40" w14:textId="77777777" w:rsidR="002527F4" w:rsidRDefault="00000000">
      <w:r>
        <w:rPr>
          <w:rStyle w:val="CommentReference"/>
        </w:rPr>
        <w:annotationRef/>
      </w:r>
      <w:r>
        <w:rPr>
          <w:color w:val="000000"/>
          <w:sz w:val="20"/>
          <w:szCs w:val="20"/>
        </w:rPr>
        <w:t>CONTENT INSERT - Recording Note para 6(c) and para 9: After the Article 148.1 sentence, add: Article 148 of the APC RF allows a party to invoke an arbitration agreement and seek dismissal of the claim at the prescribed stage - comparable in function to Section 8 of the Indian Arbitration and Conciliation Act 1996 and Order VII Rule 11 of the CPC. The Respondent (unlike MTR) did not file such an application. This is also confirmed by paragraph 6 of the Melnikov Expert Report (Appeal Memo at pp. 2382-2391).</w:t>
      </w:r>
    </w:p>
  </w:comment>
  <w:comment w:id="14" w:author="Claude" w:date="2026-07-20T06:06:00Z" w:initials="C">
    <w:p w14:paraId="142DFD7A" w14:textId="77777777" w:rsidR="002527F4" w:rsidRDefault="00000000">
      <w:r>
        <w:rPr>
          <w:rStyle w:val="CommentReference"/>
        </w:rPr>
        <w:annotationRef/>
      </w:r>
      <w:r>
        <w:rPr>
          <w:color w:val="000000"/>
          <w:sz w:val="20"/>
          <w:szCs w:val="20"/>
        </w:rPr>
        <w:t>CONTENT INSERT - Recording Note para 23: New bullet needed in Ground III (after the 4 May 2026 para). The Respondent's Indian subsidiary's financial records show approximately INR 609.81 crore payable to the Italian parent (the Respondent) towards overhead expenses. This amount could be remitted unless the Court intervenes creating a concrete and imminent India-specific dissipation risk independent of and in addition to the Assignment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97B74" w15:done="0"/>
  <w15:commentEx w15:paraId="1D0DE8D1" w15:done="0"/>
  <w15:commentEx w15:paraId="2ADD7A40" w15:done="0"/>
  <w15:commentEx w15:paraId="142DFD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B91B8" w16cex:dateUtc="2026-07-20T06:06:00Z"/>
  <w16cex:commentExtensible w16cex:durableId="585DF718" w16cex:dateUtc="2026-07-20T06:06:00Z"/>
  <w16cex:commentExtensible w16cex:durableId="3B162BA7" w16cex:dateUtc="2026-07-20T06:06:00Z"/>
  <w16cex:commentExtensible w16cex:durableId="71C31E3E" w16cex:dateUtc="2026-07-20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97B74" w16cid:durableId="50FB91B8"/>
  <w16cid:commentId w16cid:paraId="1D0DE8D1" w16cid:durableId="585DF718"/>
  <w16cid:commentId w16cid:paraId="2ADD7A40" w16cid:durableId="3B162BA7"/>
  <w16cid:commentId w16cid:paraId="142DFD7A" w16cid:durableId="71C31E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682E" w14:textId="77777777" w:rsidR="00D90ED4" w:rsidRDefault="00D90ED4">
      <w:pPr>
        <w:spacing w:before="0" w:after="0" w:line="240" w:lineRule="auto"/>
      </w:pPr>
      <w:r>
        <w:separator/>
      </w:r>
    </w:p>
  </w:endnote>
  <w:endnote w:type="continuationSeparator" w:id="0">
    <w:p w14:paraId="435A0761" w14:textId="77777777" w:rsidR="00D90ED4" w:rsidRDefault="00D90E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B093" w14:textId="77777777" w:rsidR="00AC31BA" w:rsidRDefault="00AC31B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1258" w14:textId="77777777" w:rsidR="00AC31BA" w:rsidRDefault="00AC31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7675" w14:textId="77777777" w:rsidR="00D90ED4" w:rsidRDefault="00D90ED4">
      <w:pPr>
        <w:spacing w:before="0" w:after="0" w:line="240" w:lineRule="auto"/>
      </w:pPr>
      <w:r>
        <w:separator/>
      </w:r>
    </w:p>
  </w:footnote>
  <w:footnote w:type="continuationSeparator" w:id="0">
    <w:p w14:paraId="78760DBD" w14:textId="77777777" w:rsidR="00D90ED4" w:rsidRDefault="00D90E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576752"/>
      <w:docPartObj>
        <w:docPartGallery w:val="Page Numbers (Bottom of Page)"/>
        <w:docPartUnique/>
      </w:docPartObj>
    </w:sdtPr>
    <w:sdtContent>
      <w:p w14:paraId="4D16C998" w14:textId="683C8EE4" w:rsidR="00AC31BA" w:rsidRDefault="00D52741">
        <w:pPr>
          <w:pStyle w:val="Footer"/>
          <w:jc w:val="right"/>
          <w:rPr>
            <w:b/>
            <w:bCs/>
            <w:sz w:val="40"/>
            <w:szCs w:val="40"/>
          </w:rPr>
        </w:pPr>
        <w:r>
          <w:fldChar w:fldCharType="begin"/>
        </w:r>
        <w:r>
          <w:instrText xml:space="preserve"> PAGE </w:instrText>
        </w:r>
        <w:r>
          <w:fldChar w:fldCharType="separate"/>
        </w:r>
        <w:r>
          <w:t>17</w:t>
        </w:r>
        <w:r>
          <w:fldChar w:fldCharType="end"/>
        </w:r>
      </w:p>
    </w:sdtContent>
  </w:sdt>
  <w:p w14:paraId="7E409831" w14:textId="77777777" w:rsidR="00AC31BA" w:rsidRDefault="00AC31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811430"/>
      <w:docPartObj>
        <w:docPartGallery w:val="Page Numbers (Bottom of Page)"/>
        <w:docPartUnique/>
      </w:docPartObj>
    </w:sdtPr>
    <w:sdtContent>
      <w:p w14:paraId="557F4A60" w14:textId="43B96B51" w:rsidR="00AC31BA" w:rsidRDefault="00D52741">
        <w:pPr>
          <w:pStyle w:val="Footer"/>
          <w:jc w:val="right"/>
          <w:rPr>
            <w:b/>
            <w:bCs/>
            <w:sz w:val="40"/>
            <w:szCs w:val="40"/>
          </w:rPr>
        </w:pPr>
        <w:r>
          <w:fldChar w:fldCharType="begin"/>
        </w:r>
        <w:r>
          <w:instrText xml:space="preserve"> PAGE </w:instrText>
        </w:r>
        <w:r>
          <w:fldChar w:fldCharType="separate"/>
        </w:r>
        <w:r>
          <w:t>17</w:t>
        </w:r>
        <w:r>
          <w:fldChar w:fldCharType="end"/>
        </w:r>
      </w:p>
    </w:sdtContent>
  </w:sdt>
  <w:p w14:paraId="0F5523AA" w14:textId="77777777" w:rsidR="00AC31BA" w:rsidRDefault="00AC3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E5"/>
    <w:multiLevelType w:val="multilevel"/>
    <w:tmpl w:val="2BEC7C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E54D4F"/>
    <w:multiLevelType w:val="multilevel"/>
    <w:tmpl w:val="18EEB336"/>
    <w:lvl w:ilvl="0">
      <w:start w:val="1"/>
      <w:numFmt w:val="decimal"/>
      <w:lvlText w:val="%1."/>
      <w:lvlJc w:val="left"/>
      <w:pPr>
        <w:tabs>
          <w:tab w:val="num" w:pos="-2880"/>
        </w:tabs>
        <w:ind w:left="-2880" w:hanging="360"/>
      </w:pPr>
    </w:lvl>
    <w:lvl w:ilvl="1">
      <w:start w:val="1"/>
      <w:numFmt w:val="lowerLetter"/>
      <w:lvlText w:val="%2."/>
      <w:lvlJc w:val="left"/>
      <w:pPr>
        <w:tabs>
          <w:tab w:val="num" w:pos="-2880"/>
        </w:tabs>
        <w:ind w:left="-2160" w:hanging="360"/>
      </w:pPr>
    </w:lvl>
    <w:lvl w:ilvl="2">
      <w:start w:val="1"/>
      <w:numFmt w:val="lowerRoman"/>
      <w:lvlText w:val="%3."/>
      <w:lvlJc w:val="right"/>
      <w:pPr>
        <w:tabs>
          <w:tab w:val="num" w:pos="-2880"/>
        </w:tabs>
        <w:ind w:left="-1440" w:hanging="180"/>
      </w:pPr>
    </w:lvl>
    <w:lvl w:ilvl="3">
      <w:start w:val="1"/>
      <w:numFmt w:val="decimal"/>
      <w:lvlText w:val="%4."/>
      <w:lvlJc w:val="left"/>
      <w:pPr>
        <w:tabs>
          <w:tab w:val="num" w:pos="-2880"/>
        </w:tabs>
        <w:ind w:left="-720" w:hanging="360"/>
      </w:pPr>
    </w:lvl>
    <w:lvl w:ilvl="4">
      <w:start w:val="1"/>
      <w:numFmt w:val="lowerLetter"/>
      <w:lvlText w:val="%5."/>
      <w:lvlJc w:val="left"/>
      <w:pPr>
        <w:tabs>
          <w:tab w:val="num" w:pos="-2880"/>
        </w:tabs>
        <w:ind w:left="0" w:hanging="360"/>
      </w:pPr>
    </w:lvl>
    <w:lvl w:ilvl="5">
      <w:start w:val="1"/>
      <w:numFmt w:val="lowerRoman"/>
      <w:lvlText w:val="%6."/>
      <w:lvlJc w:val="right"/>
      <w:pPr>
        <w:tabs>
          <w:tab w:val="num" w:pos="-2880"/>
        </w:tabs>
        <w:ind w:left="720" w:hanging="180"/>
      </w:pPr>
    </w:lvl>
    <w:lvl w:ilvl="6">
      <w:start w:val="1"/>
      <w:numFmt w:val="decimal"/>
      <w:lvlText w:val="%7."/>
      <w:lvlJc w:val="left"/>
      <w:pPr>
        <w:tabs>
          <w:tab w:val="num" w:pos="-2880"/>
        </w:tabs>
        <w:ind w:left="1440" w:hanging="360"/>
      </w:pPr>
    </w:lvl>
    <w:lvl w:ilvl="7">
      <w:start w:val="1"/>
      <w:numFmt w:val="lowerLetter"/>
      <w:lvlText w:val="%8."/>
      <w:lvlJc w:val="left"/>
      <w:pPr>
        <w:tabs>
          <w:tab w:val="num" w:pos="-2880"/>
        </w:tabs>
        <w:ind w:left="2160" w:hanging="360"/>
      </w:pPr>
    </w:lvl>
    <w:lvl w:ilvl="8">
      <w:start w:val="1"/>
      <w:numFmt w:val="lowerRoman"/>
      <w:lvlText w:val="%9."/>
      <w:lvlJc w:val="right"/>
      <w:pPr>
        <w:tabs>
          <w:tab w:val="num" w:pos="-2880"/>
        </w:tabs>
        <w:ind w:left="2880" w:hanging="180"/>
      </w:pPr>
    </w:lvl>
  </w:abstractNum>
  <w:abstractNum w:abstractNumId="2" w15:restartNumberingAfterBreak="0">
    <w:nsid w:val="277F644C"/>
    <w:multiLevelType w:val="multilevel"/>
    <w:tmpl w:val="273EF318"/>
    <w:lvl w:ilvl="0">
      <w:start w:val="1"/>
      <w:numFmt w:val="lowerRoman"/>
      <w:pStyle w:val="Heading3"/>
      <w:lvlText w:val="[%1] "/>
      <w:lvlJc w:val="left"/>
      <w:pPr>
        <w:tabs>
          <w:tab w:val="num" w:pos="0"/>
        </w:tabs>
        <w:ind w:left="360" w:hanging="360"/>
      </w:pPr>
    </w:lvl>
    <w:lvl w:ilvl="1">
      <w:start w:val="1"/>
      <w:numFmt w:val="lowerLetter"/>
      <w:lvlText w:val="(%2)"/>
      <w:lvlJc w:val="left"/>
      <w:pPr>
        <w:tabs>
          <w:tab w:val="num" w:pos="0"/>
        </w:tabs>
        <w:ind w:left="720" w:hanging="360"/>
      </w:pPr>
    </w:lvl>
    <w:lvl w:ilvl="2">
      <w:start w:val="1"/>
      <w:numFmt w:val="none"/>
      <w:suff w:val="nothing"/>
      <w:lvlText w:val="[i]"/>
      <w:lvlJc w:val="left"/>
      <w:pPr>
        <w:tabs>
          <w:tab w:val="num" w:pos="0"/>
        </w:tabs>
        <w:ind w:left="357" w:hanging="357"/>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720" w:hanging="363"/>
      </w:pPr>
    </w:lvl>
  </w:abstractNum>
  <w:abstractNum w:abstractNumId="3" w15:restartNumberingAfterBreak="0">
    <w:nsid w:val="2B592170"/>
    <w:multiLevelType w:val="multilevel"/>
    <w:tmpl w:val="E5CA2742"/>
    <w:lvl w:ilvl="0">
      <w:start w:val="1"/>
      <w:numFmt w:val="lowerRoman"/>
      <w:lvlText w:val="[%1] "/>
      <w:lvlJc w:val="left"/>
      <w:pPr>
        <w:tabs>
          <w:tab w:val="num" w:pos="0"/>
        </w:tabs>
        <w:ind w:left="360" w:hanging="360"/>
      </w:pPr>
    </w:lvl>
    <w:lvl w:ilvl="1">
      <w:start w:val="1"/>
      <w:numFmt w:val="lowerLetter"/>
      <w:lvlText w:val="(%2)"/>
      <w:lvlJc w:val="left"/>
      <w:pPr>
        <w:tabs>
          <w:tab w:val="num" w:pos="0"/>
        </w:tabs>
        <w:ind w:left="720" w:hanging="360"/>
      </w:pPr>
    </w:lvl>
    <w:lvl w:ilvl="2">
      <w:start w:val="1"/>
      <w:numFmt w:val="none"/>
      <w:suff w:val="nothing"/>
      <w:lvlText w:val="[i]"/>
      <w:lvlJc w:val="left"/>
      <w:pPr>
        <w:tabs>
          <w:tab w:val="num" w:pos="0"/>
        </w:tabs>
        <w:ind w:left="357" w:hanging="357"/>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720" w:hanging="363"/>
      </w:pPr>
    </w:lvl>
  </w:abstractNum>
  <w:abstractNum w:abstractNumId="4" w15:restartNumberingAfterBreak="0">
    <w:nsid w:val="2DA30BE6"/>
    <w:multiLevelType w:val="multilevel"/>
    <w:tmpl w:val="AD04E6EC"/>
    <w:lvl w:ilvl="0">
      <w:start w:val="1"/>
      <w:numFmt w:val="upperLetter"/>
      <w:pStyle w:val="Heading2"/>
      <w:lvlText w:val="%1."/>
      <w:lvlJc w:val="left"/>
      <w:pPr>
        <w:tabs>
          <w:tab w:val="num" w:pos="0"/>
        </w:tabs>
        <w:ind w:left="357" w:hanging="357"/>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7DA7800"/>
    <w:multiLevelType w:val="multilevel"/>
    <w:tmpl w:val="9A74E6F0"/>
    <w:lvl w:ilvl="0">
      <w:start w:val="1"/>
      <w:numFmt w:val="decimal"/>
      <w:lvlText w:val="%1."/>
      <w:lvlJc w:val="left"/>
      <w:pPr>
        <w:tabs>
          <w:tab w:val="num" w:pos="-2880"/>
        </w:tabs>
        <w:ind w:left="-2880" w:hanging="360"/>
      </w:pPr>
    </w:lvl>
    <w:lvl w:ilvl="1">
      <w:start w:val="1"/>
      <w:numFmt w:val="lowerLetter"/>
      <w:lvlText w:val="%2."/>
      <w:lvlJc w:val="left"/>
      <w:pPr>
        <w:tabs>
          <w:tab w:val="num" w:pos="-2880"/>
        </w:tabs>
        <w:ind w:left="-2160" w:hanging="360"/>
      </w:pPr>
    </w:lvl>
    <w:lvl w:ilvl="2">
      <w:start w:val="1"/>
      <w:numFmt w:val="lowerRoman"/>
      <w:lvlText w:val="%3."/>
      <w:lvlJc w:val="right"/>
      <w:pPr>
        <w:tabs>
          <w:tab w:val="num" w:pos="-2880"/>
        </w:tabs>
        <w:ind w:left="-1440" w:hanging="180"/>
      </w:pPr>
    </w:lvl>
    <w:lvl w:ilvl="3">
      <w:start w:val="1"/>
      <w:numFmt w:val="decimal"/>
      <w:lvlText w:val="%4."/>
      <w:lvlJc w:val="left"/>
      <w:pPr>
        <w:tabs>
          <w:tab w:val="num" w:pos="-2880"/>
        </w:tabs>
        <w:ind w:left="-720" w:hanging="360"/>
      </w:pPr>
    </w:lvl>
    <w:lvl w:ilvl="4">
      <w:start w:val="1"/>
      <w:numFmt w:val="lowerLetter"/>
      <w:lvlText w:val="%5."/>
      <w:lvlJc w:val="left"/>
      <w:pPr>
        <w:tabs>
          <w:tab w:val="num" w:pos="-2880"/>
        </w:tabs>
        <w:ind w:left="0" w:hanging="360"/>
      </w:pPr>
    </w:lvl>
    <w:lvl w:ilvl="5">
      <w:start w:val="1"/>
      <w:numFmt w:val="lowerRoman"/>
      <w:lvlText w:val="%6."/>
      <w:lvlJc w:val="right"/>
      <w:pPr>
        <w:tabs>
          <w:tab w:val="num" w:pos="-2880"/>
        </w:tabs>
        <w:ind w:left="720" w:hanging="180"/>
      </w:pPr>
    </w:lvl>
    <w:lvl w:ilvl="6">
      <w:start w:val="1"/>
      <w:numFmt w:val="decimal"/>
      <w:lvlText w:val="%7."/>
      <w:lvlJc w:val="left"/>
      <w:pPr>
        <w:tabs>
          <w:tab w:val="num" w:pos="-2880"/>
        </w:tabs>
        <w:ind w:left="1440" w:hanging="360"/>
      </w:pPr>
    </w:lvl>
    <w:lvl w:ilvl="7">
      <w:start w:val="1"/>
      <w:numFmt w:val="lowerLetter"/>
      <w:lvlText w:val="%8."/>
      <w:lvlJc w:val="left"/>
      <w:pPr>
        <w:tabs>
          <w:tab w:val="num" w:pos="-2880"/>
        </w:tabs>
        <w:ind w:left="2160" w:hanging="360"/>
      </w:pPr>
    </w:lvl>
    <w:lvl w:ilvl="8">
      <w:start w:val="1"/>
      <w:numFmt w:val="lowerRoman"/>
      <w:lvlText w:val="%9."/>
      <w:lvlJc w:val="right"/>
      <w:pPr>
        <w:tabs>
          <w:tab w:val="num" w:pos="-2880"/>
        </w:tabs>
        <w:ind w:left="2880" w:hanging="180"/>
      </w:pPr>
    </w:lvl>
  </w:abstractNum>
  <w:abstractNum w:abstractNumId="6" w15:restartNumberingAfterBreak="0">
    <w:nsid w:val="3AF748BD"/>
    <w:multiLevelType w:val="multilevel"/>
    <w:tmpl w:val="5DE47C42"/>
    <w:lvl w:ilvl="0">
      <w:start w:val="1"/>
      <w:numFmt w:val="upperLetter"/>
      <w:lvlText w:val="%1."/>
      <w:lvlJc w:val="left"/>
      <w:pPr>
        <w:tabs>
          <w:tab w:val="num" w:pos="0"/>
        </w:tabs>
        <w:ind w:left="357" w:hanging="357"/>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2DB0A65"/>
    <w:multiLevelType w:val="multilevel"/>
    <w:tmpl w:val="F4002D98"/>
    <w:lvl w:ilvl="0">
      <w:start w:val="1"/>
      <w:numFmt w:val="upperRoman"/>
      <w:pStyle w:val="Heading1"/>
      <w:lvlText w:val="%1."/>
      <w:lvlJc w:val="left"/>
      <w:pPr>
        <w:tabs>
          <w:tab w:val="num" w:pos="0"/>
        </w:tabs>
        <w:ind w:left="357" w:hanging="357"/>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6557B9F"/>
    <w:multiLevelType w:val="multilevel"/>
    <w:tmpl w:val="AC2A7BFA"/>
    <w:lvl w:ilvl="0">
      <w:start w:val="1"/>
      <w:numFmt w:val="lowerRoman"/>
      <w:lvlText w:val="[%1] "/>
      <w:lvlJc w:val="left"/>
      <w:pPr>
        <w:tabs>
          <w:tab w:val="num" w:pos="0"/>
        </w:tabs>
        <w:ind w:left="360" w:hanging="360"/>
      </w:pPr>
    </w:lvl>
    <w:lvl w:ilvl="1">
      <w:start w:val="1"/>
      <w:numFmt w:val="lowerLetter"/>
      <w:lvlText w:val="(%2)"/>
      <w:lvlJc w:val="left"/>
      <w:pPr>
        <w:tabs>
          <w:tab w:val="num" w:pos="0"/>
        </w:tabs>
        <w:ind w:left="720" w:hanging="360"/>
      </w:pPr>
    </w:lvl>
    <w:lvl w:ilvl="2">
      <w:start w:val="1"/>
      <w:numFmt w:val="none"/>
      <w:suff w:val="nothing"/>
      <w:lvlText w:val="[i]"/>
      <w:lvlJc w:val="left"/>
      <w:pPr>
        <w:tabs>
          <w:tab w:val="num" w:pos="0"/>
        </w:tabs>
        <w:ind w:left="357" w:hanging="357"/>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720" w:hanging="363"/>
      </w:pPr>
    </w:lvl>
  </w:abstractNum>
  <w:abstractNum w:abstractNumId="9" w15:restartNumberingAfterBreak="0">
    <w:nsid w:val="543838BC"/>
    <w:multiLevelType w:val="multilevel"/>
    <w:tmpl w:val="0434C2F4"/>
    <w:lvl w:ilvl="0">
      <w:start w:val="1"/>
      <w:numFmt w:val="decimal"/>
      <w:lvlText w:val="%1."/>
      <w:lvlJc w:val="left"/>
      <w:pPr>
        <w:tabs>
          <w:tab w:val="num" w:pos="360"/>
        </w:tabs>
        <w:ind w:left="360"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0" w15:restartNumberingAfterBreak="0">
    <w:nsid w:val="55D80FCE"/>
    <w:multiLevelType w:val="multilevel"/>
    <w:tmpl w:val="099C28E8"/>
    <w:lvl w:ilvl="0">
      <w:start w:val="1"/>
      <w:numFmt w:val="decimal"/>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i]"/>
      <w:lvlJc w:val="left"/>
      <w:pPr>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720" w:hanging="363"/>
      </w:pPr>
      <w:rPr>
        <w:rFonts w:hint="default"/>
      </w:rPr>
    </w:lvl>
  </w:abstractNum>
  <w:abstractNum w:abstractNumId="11" w15:restartNumberingAfterBreak="0">
    <w:nsid w:val="718714B0"/>
    <w:multiLevelType w:val="multilevel"/>
    <w:tmpl w:val="BED6BA96"/>
    <w:lvl w:ilvl="0">
      <w:start w:val="1"/>
      <w:numFmt w:val="upperLetter"/>
      <w:lvlText w:val="%1."/>
      <w:lvlJc w:val="left"/>
      <w:pPr>
        <w:tabs>
          <w:tab w:val="num" w:pos="0"/>
        </w:tabs>
        <w:ind w:left="357" w:hanging="357"/>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70F3E06"/>
    <w:multiLevelType w:val="multilevel"/>
    <w:tmpl w:val="9B16476E"/>
    <w:lvl w:ilvl="0">
      <w:start w:val="1"/>
      <w:numFmt w:val="decimal"/>
      <w:lvlText w:val="%1. "/>
      <w:lvlJc w:val="left"/>
      <w:pPr>
        <w:tabs>
          <w:tab w:val="num" w:pos="0"/>
        </w:tabs>
        <w:ind w:left="360" w:hanging="360"/>
      </w:pPr>
      <w:rPr>
        <w:color w:val="000000" w:themeColor="text1"/>
      </w:rPr>
    </w:lvl>
    <w:lvl w:ilvl="1">
      <w:start w:val="1"/>
      <w:numFmt w:val="lowerLetter"/>
      <w:lvlText w:val="(%2)"/>
      <w:lvlJc w:val="left"/>
      <w:pPr>
        <w:tabs>
          <w:tab w:val="num" w:pos="0"/>
        </w:tabs>
        <w:ind w:left="720" w:hanging="360"/>
      </w:pPr>
    </w:lvl>
    <w:lvl w:ilvl="2">
      <w:start w:val="1"/>
      <w:numFmt w:val="none"/>
      <w:suff w:val="nothing"/>
      <w:lvlText w:val="[i]"/>
      <w:lvlJc w:val="left"/>
      <w:pPr>
        <w:tabs>
          <w:tab w:val="num" w:pos="0"/>
        </w:tabs>
        <w:ind w:left="1134" w:hanging="414"/>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720" w:hanging="363"/>
      </w:pPr>
    </w:lvl>
  </w:abstractNum>
  <w:num w:numId="1" w16cid:durableId="89401880">
    <w:abstractNumId w:val="1"/>
  </w:num>
  <w:num w:numId="2" w16cid:durableId="2082364350">
    <w:abstractNumId w:val="12"/>
  </w:num>
  <w:num w:numId="3" w16cid:durableId="442922758">
    <w:abstractNumId w:val="7"/>
  </w:num>
  <w:num w:numId="4" w16cid:durableId="1863005984">
    <w:abstractNumId w:val="4"/>
  </w:num>
  <w:num w:numId="5" w16cid:durableId="165706874">
    <w:abstractNumId w:val="2"/>
  </w:num>
  <w:num w:numId="6" w16cid:durableId="347341540">
    <w:abstractNumId w:val="3"/>
  </w:num>
  <w:num w:numId="7" w16cid:durableId="1875540650">
    <w:abstractNumId w:val="6"/>
  </w:num>
  <w:num w:numId="8" w16cid:durableId="802114428">
    <w:abstractNumId w:val="8"/>
  </w:num>
  <w:num w:numId="9" w16cid:durableId="333264859">
    <w:abstractNumId w:val="11"/>
  </w:num>
  <w:num w:numId="10" w16cid:durableId="1686596921">
    <w:abstractNumId w:val="0"/>
  </w:num>
  <w:num w:numId="11" w16cid:durableId="1986276753">
    <w:abstractNumId w:val="4"/>
    <w:lvlOverride w:ilvl="0">
      <w:startOverride w:val="1"/>
    </w:lvlOverride>
  </w:num>
  <w:num w:numId="12" w16cid:durableId="1268005147">
    <w:abstractNumId w:val="2"/>
    <w:lvlOverride w:ilvl="0">
      <w:startOverride w:val="1"/>
    </w:lvlOverride>
  </w:num>
  <w:num w:numId="13" w16cid:durableId="2086952405">
    <w:abstractNumId w:val="2"/>
    <w:lvlOverride w:ilvl="0">
      <w:startOverride w:val="1"/>
    </w:lvlOverride>
  </w:num>
  <w:num w:numId="14" w16cid:durableId="1834371675">
    <w:abstractNumId w:val="4"/>
    <w:lvlOverride w:ilvl="0">
      <w:startOverride w:val="1"/>
    </w:lvlOverride>
  </w:num>
  <w:num w:numId="15" w16cid:durableId="307054400">
    <w:abstractNumId w:val="1"/>
    <w:lvlOverride w:ilvl="0">
      <w:startOverride w:val="1"/>
    </w:lvlOverride>
  </w:num>
  <w:num w:numId="16" w16cid:durableId="264388185">
    <w:abstractNumId w:val="10"/>
  </w:num>
  <w:num w:numId="17" w16cid:durableId="1825198270">
    <w:abstractNumId w:val="5"/>
  </w:num>
  <w:num w:numId="18" w16cid:durableId="957835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BA"/>
    <w:rsid w:val="000060EC"/>
    <w:rsid w:val="0002128A"/>
    <w:rsid w:val="00022EFE"/>
    <w:rsid w:val="000242F8"/>
    <w:rsid w:val="000253CF"/>
    <w:rsid w:val="00031C5F"/>
    <w:rsid w:val="000453AC"/>
    <w:rsid w:val="000543A6"/>
    <w:rsid w:val="00055775"/>
    <w:rsid w:val="00061AA4"/>
    <w:rsid w:val="00063F3D"/>
    <w:rsid w:val="00064DA1"/>
    <w:rsid w:val="000678B7"/>
    <w:rsid w:val="0007375E"/>
    <w:rsid w:val="00073B83"/>
    <w:rsid w:val="0007480C"/>
    <w:rsid w:val="00085C8E"/>
    <w:rsid w:val="00086DA9"/>
    <w:rsid w:val="000B598E"/>
    <w:rsid w:val="000C14DD"/>
    <w:rsid w:val="000C45D3"/>
    <w:rsid w:val="000E00AA"/>
    <w:rsid w:val="000E432D"/>
    <w:rsid w:val="000E51BA"/>
    <w:rsid w:val="000F4433"/>
    <w:rsid w:val="00113D58"/>
    <w:rsid w:val="00144C7B"/>
    <w:rsid w:val="00152550"/>
    <w:rsid w:val="001569A0"/>
    <w:rsid w:val="00165F2F"/>
    <w:rsid w:val="00172141"/>
    <w:rsid w:val="00194190"/>
    <w:rsid w:val="001A16B8"/>
    <w:rsid w:val="001A173B"/>
    <w:rsid w:val="001C3E11"/>
    <w:rsid w:val="001C5A61"/>
    <w:rsid w:val="001C68C4"/>
    <w:rsid w:val="001E6FCF"/>
    <w:rsid w:val="001F7A32"/>
    <w:rsid w:val="002116FE"/>
    <w:rsid w:val="00213C41"/>
    <w:rsid w:val="00221580"/>
    <w:rsid w:val="00230D82"/>
    <w:rsid w:val="00237D36"/>
    <w:rsid w:val="00240D87"/>
    <w:rsid w:val="00242EDF"/>
    <w:rsid w:val="002527F4"/>
    <w:rsid w:val="00254AEF"/>
    <w:rsid w:val="002628E2"/>
    <w:rsid w:val="00264984"/>
    <w:rsid w:val="00270AE7"/>
    <w:rsid w:val="00282AA9"/>
    <w:rsid w:val="0028419D"/>
    <w:rsid w:val="002862DE"/>
    <w:rsid w:val="00291003"/>
    <w:rsid w:val="002A2A93"/>
    <w:rsid w:val="002A50F8"/>
    <w:rsid w:val="002A67A0"/>
    <w:rsid w:val="002A7454"/>
    <w:rsid w:val="002B09F9"/>
    <w:rsid w:val="002B4250"/>
    <w:rsid w:val="002D69A6"/>
    <w:rsid w:val="002E40B5"/>
    <w:rsid w:val="002E6A1F"/>
    <w:rsid w:val="002F53A2"/>
    <w:rsid w:val="002F7D97"/>
    <w:rsid w:val="00300429"/>
    <w:rsid w:val="00301131"/>
    <w:rsid w:val="00303D89"/>
    <w:rsid w:val="00306378"/>
    <w:rsid w:val="003131D5"/>
    <w:rsid w:val="00324ED4"/>
    <w:rsid w:val="003342A1"/>
    <w:rsid w:val="00335AE7"/>
    <w:rsid w:val="00345DA0"/>
    <w:rsid w:val="00346DE6"/>
    <w:rsid w:val="003605C8"/>
    <w:rsid w:val="0037121F"/>
    <w:rsid w:val="00381B53"/>
    <w:rsid w:val="0038354C"/>
    <w:rsid w:val="00386126"/>
    <w:rsid w:val="00391832"/>
    <w:rsid w:val="003A05C2"/>
    <w:rsid w:val="003B4766"/>
    <w:rsid w:val="003C163C"/>
    <w:rsid w:val="003E240E"/>
    <w:rsid w:val="003E7D43"/>
    <w:rsid w:val="003F4A32"/>
    <w:rsid w:val="003F5FE7"/>
    <w:rsid w:val="003F720D"/>
    <w:rsid w:val="00402A24"/>
    <w:rsid w:val="0040385A"/>
    <w:rsid w:val="0040732E"/>
    <w:rsid w:val="00414A3E"/>
    <w:rsid w:val="0041523A"/>
    <w:rsid w:val="00435F56"/>
    <w:rsid w:val="004372C4"/>
    <w:rsid w:val="004459EA"/>
    <w:rsid w:val="00453599"/>
    <w:rsid w:val="00460A67"/>
    <w:rsid w:val="00482518"/>
    <w:rsid w:val="00494144"/>
    <w:rsid w:val="004951F5"/>
    <w:rsid w:val="00495902"/>
    <w:rsid w:val="00495CC8"/>
    <w:rsid w:val="004B5ED4"/>
    <w:rsid w:val="004C0845"/>
    <w:rsid w:val="004C7A27"/>
    <w:rsid w:val="004D1AB3"/>
    <w:rsid w:val="004D3C0F"/>
    <w:rsid w:val="004D4ADB"/>
    <w:rsid w:val="004F1308"/>
    <w:rsid w:val="004F3E44"/>
    <w:rsid w:val="004F4D1B"/>
    <w:rsid w:val="004F522D"/>
    <w:rsid w:val="004F5477"/>
    <w:rsid w:val="00512E78"/>
    <w:rsid w:val="00513C90"/>
    <w:rsid w:val="00535A4C"/>
    <w:rsid w:val="005466C7"/>
    <w:rsid w:val="00547F6A"/>
    <w:rsid w:val="00565E23"/>
    <w:rsid w:val="00567CFB"/>
    <w:rsid w:val="005A3DB6"/>
    <w:rsid w:val="005A5590"/>
    <w:rsid w:val="005C771B"/>
    <w:rsid w:val="005D268D"/>
    <w:rsid w:val="005D6F9F"/>
    <w:rsid w:val="005E7E57"/>
    <w:rsid w:val="005F6C2B"/>
    <w:rsid w:val="00601DB9"/>
    <w:rsid w:val="006023EF"/>
    <w:rsid w:val="00616DAD"/>
    <w:rsid w:val="00617564"/>
    <w:rsid w:val="00640030"/>
    <w:rsid w:val="00641296"/>
    <w:rsid w:val="006472AE"/>
    <w:rsid w:val="00651D9F"/>
    <w:rsid w:val="00656DBD"/>
    <w:rsid w:val="00661052"/>
    <w:rsid w:val="0066607F"/>
    <w:rsid w:val="006907C2"/>
    <w:rsid w:val="006B0ACD"/>
    <w:rsid w:val="006C39A9"/>
    <w:rsid w:val="006C686A"/>
    <w:rsid w:val="006D02DD"/>
    <w:rsid w:val="006D3379"/>
    <w:rsid w:val="006E6AEB"/>
    <w:rsid w:val="006E75A7"/>
    <w:rsid w:val="006F01ED"/>
    <w:rsid w:val="006F1071"/>
    <w:rsid w:val="006F3BFF"/>
    <w:rsid w:val="006F6ABB"/>
    <w:rsid w:val="007034B1"/>
    <w:rsid w:val="00710159"/>
    <w:rsid w:val="00724A0F"/>
    <w:rsid w:val="00730528"/>
    <w:rsid w:val="007429AC"/>
    <w:rsid w:val="00751C23"/>
    <w:rsid w:val="00757C54"/>
    <w:rsid w:val="00762D3A"/>
    <w:rsid w:val="00764040"/>
    <w:rsid w:val="00773F84"/>
    <w:rsid w:val="00774A9E"/>
    <w:rsid w:val="00780FA8"/>
    <w:rsid w:val="007A62F1"/>
    <w:rsid w:val="007B18BD"/>
    <w:rsid w:val="007B2481"/>
    <w:rsid w:val="007C7FA5"/>
    <w:rsid w:val="007D0A75"/>
    <w:rsid w:val="007E0E98"/>
    <w:rsid w:val="007F0474"/>
    <w:rsid w:val="00803374"/>
    <w:rsid w:val="0080380C"/>
    <w:rsid w:val="0081072A"/>
    <w:rsid w:val="00833B08"/>
    <w:rsid w:val="0084507B"/>
    <w:rsid w:val="00866477"/>
    <w:rsid w:val="008751B3"/>
    <w:rsid w:val="00891E8F"/>
    <w:rsid w:val="00893D1D"/>
    <w:rsid w:val="008A3011"/>
    <w:rsid w:val="008A570B"/>
    <w:rsid w:val="008A6FEA"/>
    <w:rsid w:val="008C56A2"/>
    <w:rsid w:val="008D034E"/>
    <w:rsid w:val="008D487A"/>
    <w:rsid w:val="008D6A60"/>
    <w:rsid w:val="008E3856"/>
    <w:rsid w:val="008F17E8"/>
    <w:rsid w:val="008F7CA3"/>
    <w:rsid w:val="00900BC5"/>
    <w:rsid w:val="00915CFC"/>
    <w:rsid w:val="00927470"/>
    <w:rsid w:val="009343A0"/>
    <w:rsid w:val="00936ABB"/>
    <w:rsid w:val="00945853"/>
    <w:rsid w:val="00961934"/>
    <w:rsid w:val="009641A6"/>
    <w:rsid w:val="00980053"/>
    <w:rsid w:val="009B483F"/>
    <w:rsid w:val="009B6A16"/>
    <w:rsid w:val="009C79D1"/>
    <w:rsid w:val="009D3466"/>
    <w:rsid w:val="009E77BB"/>
    <w:rsid w:val="009E7C46"/>
    <w:rsid w:val="009F340A"/>
    <w:rsid w:val="00A03E86"/>
    <w:rsid w:val="00A1458A"/>
    <w:rsid w:val="00A2422C"/>
    <w:rsid w:val="00A24687"/>
    <w:rsid w:val="00A3011D"/>
    <w:rsid w:val="00A31842"/>
    <w:rsid w:val="00A34B1E"/>
    <w:rsid w:val="00A42897"/>
    <w:rsid w:val="00A50036"/>
    <w:rsid w:val="00A61098"/>
    <w:rsid w:val="00A6155B"/>
    <w:rsid w:val="00A75068"/>
    <w:rsid w:val="00A81F66"/>
    <w:rsid w:val="00A8277A"/>
    <w:rsid w:val="00A9715C"/>
    <w:rsid w:val="00AA299D"/>
    <w:rsid w:val="00AC31BA"/>
    <w:rsid w:val="00AC4DB2"/>
    <w:rsid w:val="00AC6C0D"/>
    <w:rsid w:val="00AD0BBD"/>
    <w:rsid w:val="00AD1470"/>
    <w:rsid w:val="00AD14FA"/>
    <w:rsid w:val="00AF0F2D"/>
    <w:rsid w:val="00AF5291"/>
    <w:rsid w:val="00B03161"/>
    <w:rsid w:val="00B10620"/>
    <w:rsid w:val="00B24B18"/>
    <w:rsid w:val="00B30A7F"/>
    <w:rsid w:val="00B46979"/>
    <w:rsid w:val="00B56E9E"/>
    <w:rsid w:val="00B57150"/>
    <w:rsid w:val="00B62D20"/>
    <w:rsid w:val="00B65844"/>
    <w:rsid w:val="00B77241"/>
    <w:rsid w:val="00BA1EB9"/>
    <w:rsid w:val="00BA2283"/>
    <w:rsid w:val="00BA4996"/>
    <w:rsid w:val="00BB31E7"/>
    <w:rsid w:val="00BB3E6A"/>
    <w:rsid w:val="00BB6289"/>
    <w:rsid w:val="00BB64F7"/>
    <w:rsid w:val="00BB716C"/>
    <w:rsid w:val="00BC7AE9"/>
    <w:rsid w:val="00BD283B"/>
    <w:rsid w:val="00BD6183"/>
    <w:rsid w:val="00BE138B"/>
    <w:rsid w:val="00BE43AF"/>
    <w:rsid w:val="00BE553D"/>
    <w:rsid w:val="00BF3F52"/>
    <w:rsid w:val="00C00818"/>
    <w:rsid w:val="00C114DF"/>
    <w:rsid w:val="00C170B1"/>
    <w:rsid w:val="00C32BC8"/>
    <w:rsid w:val="00C33965"/>
    <w:rsid w:val="00C403C8"/>
    <w:rsid w:val="00C4549C"/>
    <w:rsid w:val="00C4796C"/>
    <w:rsid w:val="00C50B3F"/>
    <w:rsid w:val="00C51AB7"/>
    <w:rsid w:val="00C64EE6"/>
    <w:rsid w:val="00C655AC"/>
    <w:rsid w:val="00C6586E"/>
    <w:rsid w:val="00C934C4"/>
    <w:rsid w:val="00CA0500"/>
    <w:rsid w:val="00CB3EA5"/>
    <w:rsid w:val="00CC6E52"/>
    <w:rsid w:val="00CF2031"/>
    <w:rsid w:val="00CF348A"/>
    <w:rsid w:val="00D04493"/>
    <w:rsid w:val="00D107D4"/>
    <w:rsid w:val="00D1290D"/>
    <w:rsid w:val="00D17F4F"/>
    <w:rsid w:val="00D26548"/>
    <w:rsid w:val="00D31218"/>
    <w:rsid w:val="00D32748"/>
    <w:rsid w:val="00D36837"/>
    <w:rsid w:val="00D502EA"/>
    <w:rsid w:val="00D52741"/>
    <w:rsid w:val="00D60D21"/>
    <w:rsid w:val="00D622E5"/>
    <w:rsid w:val="00D805E2"/>
    <w:rsid w:val="00D854D7"/>
    <w:rsid w:val="00D90ED3"/>
    <w:rsid w:val="00D90ED4"/>
    <w:rsid w:val="00D95AAF"/>
    <w:rsid w:val="00DA7CA1"/>
    <w:rsid w:val="00DB0DBD"/>
    <w:rsid w:val="00DB1CE3"/>
    <w:rsid w:val="00DD3983"/>
    <w:rsid w:val="00DD425F"/>
    <w:rsid w:val="00DE657E"/>
    <w:rsid w:val="00E073DD"/>
    <w:rsid w:val="00E1539C"/>
    <w:rsid w:val="00E177F6"/>
    <w:rsid w:val="00E23DE5"/>
    <w:rsid w:val="00E27DBF"/>
    <w:rsid w:val="00E340AE"/>
    <w:rsid w:val="00E410B0"/>
    <w:rsid w:val="00E5393E"/>
    <w:rsid w:val="00E84236"/>
    <w:rsid w:val="00EA06A1"/>
    <w:rsid w:val="00EA0A27"/>
    <w:rsid w:val="00EB60C3"/>
    <w:rsid w:val="00EC014E"/>
    <w:rsid w:val="00EC23FD"/>
    <w:rsid w:val="00EC6FCB"/>
    <w:rsid w:val="00EF0D4D"/>
    <w:rsid w:val="00EF594D"/>
    <w:rsid w:val="00F00364"/>
    <w:rsid w:val="00F155F8"/>
    <w:rsid w:val="00F20253"/>
    <w:rsid w:val="00F204B1"/>
    <w:rsid w:val="00F20A9C"/>
    <w:rsid w:val="00F215D9"/>
    <w:rsid w:val="00F40084"/>
    <w:rsid w:val="00F538CC"/>
    <w:rsid w:val="00F54B9D"/>
    <w:rsid w:val="00F54D31"/>
    <w:rsid w:val="00F562E8"/>
    <w:rsid w:val="00F6400C"/>
    <w:rsid w:val="00F70179"/>
    <w:rsid w:val="00F751B9"/>
    <w:rsid w:val="00F90571"/>
    <w:rsid w:val="00F93C6F"/>
    <w:rsid w:val="00FA3674"/>
    <w:rsid w:val="00FB3798"/>
    <w:rsid w:val="00FC077C"/>
    <w:rsid w:val="00FE0659"/>
    <w:rsid w:val="00FE32C4"/>
    <w:rsid w:val="00FE5906"/>
    <w:rsid w:val="00FF0F77"/>
  </w:rsids>
  <m:mathPr>
    <m:mathFont m:val="Cambria Math"/>
    <m:brkBin m:val="before"/>
    <m:brkBinSub m:val="--"/>
    <m:smallFrac m:val="0"/>
    <m:dispDef/>
    <m:lMargin m:val="0"/>
    <m:rMargin m:val="0"/>
    <m:defJc m:val="centerGroup"/>
    <m:wrapIndent m:val="1440"/>
    <m:intLim m:val="subSup"/>
    <m:naryLim m:val="undOvr"/>
  </m:mathPr>
  <w:themeFontLang w:val="en-IN"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424F"/>
  <w15:docId w15:val="{A2B638D9-8162-4E4F-BE64-48D12C40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79"/>
    <w:pPr>
      <w:spacing w:before="120" w:after="120" w:line="360" w:lineRule="auto"/>
      <w:ind w:firstLine="357"/>
      <w:jc w:val="both"/>
    </w:pPr>
    <w:rPr>
      <w:rFonts w:eastAsia="Aptos" w:cs="Arial"/>
      <w:kern w:val="0"/>
      <w:sz w:val="24"/>
      <w:szCs w:val="22"/>
      <w:lang w:val="en-GB"/>
      <w14:ligatures w14:val="none"/>
    </w:rPr>
  </w:style>
  <w:style w:type="paragraph" w:styleId="Heading1">
    <w:name w:val="heading 1"/>
    <w:basedOn w:val="Heading2"/>
    <w:next w:val="Normal"/>
    <w:link w:val="Heading1Char"/>
    <w:uiPriority w:val="9"/>
    <w:qFormat/>
    <w:rsid w:val="0084119A"/>
    <w:pPr>
      <w:numPr>
        <w:numId w:val="3"/>
      </w:numPr>
      <w:outlineLvl w:val="0"/>
    </w:pPr>
    <w:rPr>
      <w:bCs/>
    </w:rPr>
  </w:style>
  <w:style w:type="paragraph" w:styleId="Heading2">
    <w:name w:val="heading 2"/>
    <w:basedOn w:val="Heading3"/>
    <w:next w:val="Normal"/>
    <w:link w:val="Heading2Char"/>
    <w:uiPriority w:val="9"/>
    <w:unhideWhenUsed/>
    <w:qFormat/>
    <w:rsid w:val="005C39C9"/>
    <w:pPr>
      <w:numPr>
        <w:numId w:val="4"/>
      </w:numPr>
      <w:outlineLvl w:val="1"/>
    </w:pPr>
    <w:rPr>
      <w:b/>
      <w:u w:val="none"/>
    </w:rPr>
  </w:style>
  <w:style w:type="paragraph" w:styleId="Heading3">
    <w:name w:val="heading 3"/>
    <w:basedOn w:val="ListParagraph"/>
    <w:next w:val="Normal"/>
    <w:link w:val="Heading3Char"/>
    <w:uiPriority w:val="9"/>
    <w:unhideWhenUsed/>
    <w:qFormat/>
    <w:rsid w:val="005C39C9"/>
    <w:pPr>
      <w:numPr>
        <w:numId w:val="5"/>
      </w:numPr>
      <w:spacing w:before="240"/>
      <w:ind w:left="357" w:hanging="357"/>
      <w:contextualSpacing w:val="0"/>
      <w:outlineLvl w:val="2"/>
    </w:pPr>
    <w:rPr>
      <w:u w:val="single"/>
    </w:rPr>
  </w:style>
  <w:style w:type="paragraph" w:styleId="Heading4">
    <w:name w:val="heading 4"/>
    <w:basedOn w:val="Normal"/>
    <w:next w:val="Normal"/>
    <w:link w:val="Heading4Char"/>
    <w:uiPriority w:val="9"/>
    <w:semiHidden/>
    <w:unhideWhenUsed/>
    <w:qFormat/>
    <w:pPr>
      <w:keepNext/>
      <w:keepLines/>
      <w:spacing w:before="240" w:after="40"/>
      <w:outlineLvl w:val="3"/>
    </w:pPr>
    <w:rPr>
      <w:rFonts w:ascii="Calibri" w:hAnsiTheme="minorHAnsi"/>
      <w:b/>
    </w:rPr>
  </w:style>
  <w:style w:type="paragraph" w:styleId="Heading5">
    <w:name w:val="heading 5"/>
    <w:basedOn w:val="Normal"/>
    <w:next w:val="Normal"/>
    <w:link w:val="Heading5Char"/>
    <w:uiPriority w:val="9"/>
    <w:semiHidden/>
    <w:unhideWhenUsed/>
    <w:qFormat/>
    <w:pPr>
      <w:keepNext/>
      <w:keepLines/>
      <w:spacing w:before="220" w:after="40"/>
      <w:outlineLvl w:val="4"/>
    </w:pPr>
    <w:rPr>
      <w:rFonts w:ascii="Calibri" w:hAnsiTheme="minorHAnsi"/>
      <w:b/>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Calibri" w:hAnsiTheme="minorHAnsi"/>
      <w:b/>
    </w:rPr>
  </w:style>
  <w:style w:type="paragraph" w:styleId="Heading7">
    <w:name w:val="heading 7"/>
    <w:basedOn w:val="Normal"/>
    <w:next w:val="Normal"/>
    <w:link w:val="Heading7Char"/>
    <w:uiPriority w:val="9"/>
    <w:semiHidden/>
    <w:unhideWhenUsed/>
    <w:qFormat/>
    <w:rsid w:val="000C6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4119A"/>
    <w:rPr>
      <w:b/>
      <w:bCs/>
      <w:kern w:val="0"/>
      <w:sz w:val="24"/>
      <w:szCs w:val="22"/>
      <w:lang w:val="en-US"/>
      <w14:ligatures w14:val="none"/>
    </w:rPr>
  </w:style>
  <w:style w:type="character" w:customStyle="1" w:styleId="Heading2Char">
    <w:name w:val="Heading 2 Char"/>
    <w:basedOn w:val="DefaultParagraphFont"/>
    <w:link w:val="Heading2"/>
    <w:uiPriority w:val="9"/>
    <w:qFormat/>
    <w:rsid w:val="005C39C9"/>
    <w:rPr>
      <w:b/>
      <w:kern w:val="0"/>
      <w:sz w:val="24"/>
      <w:szCs w:val="22"/>
      <w:lang w:val="en-US"/>
      <w14:ligatures w14:val="none"/>
    </w:rPr>
  </w:style>
  <w:style w:type="character" w:customStyle="1" w:styleId="Heading3Char">
    <w:name w:val="Heading 3 Char"/>
    <w:basedOn w:val="DefaultParagraphFont"/>
    <w:link w:val="Heading3"/>
    <w:uiPriority w:val="9"/>
    <w:qFormat/>
    <w:rsid w:val="005C39C9"/>
    <w:rPr>
      <w:kern w:val="0"/>
      <w:sz w:val="24"/>
      <w:szCs w:val="22"/>
      <w:u w:val="single"/>
      <w:lang w:val="en-US"/>
      <w14:ligatures w14:val="none"/>
    </w:rPr>
  </w:style>
  <w:style w:type="character" w:customStyle="1" w:styleId="Heading4Char">
    <w:name w:val="Heading 4 Char"/>
    <w:basedOn w:val="DefaultParagraphFont"/>
    <w:link w:val="Heading4"/>
    <w:uiPriority w:val="9"/>
    <w:semiHidden/>
    <w:qFormat/>
    <w:rsid w:val="000C6E00"/>
    <w:rPr>
      <w:rFonts w:ascii="Calibri" w:hAnsiTheme="minorHAnsi"/>
      <w:b/>
      <w:kern w:val="0"/>
      <w:sz w:val="24"/>
      <w:szCs w:val="22"/>
      <w:lang w:val="en-US"/>
      <w14:ligatures w14:val="none"/>
    </w:rPr>
  </w:style>
  <w:style w:type="character" w:customStyle="1" w:styleId="Heading5Char">
    <w:name w:val="Heading 5 Char"/>
    <w:basedOn w:val="DefaultParagraphFont"/>
    <w:link w:val="Heading5"/>
    <w:uiPriority w:val="9"/>
    <w:semiHidden/>
    <w:qFormat/>
    <w:rsid w:val="000C6E00"/>
    <w:rPr>
      <w:rFonts w:ascii="Calibri" w:hAnsiTheme="minorHAnsi"/>
      <w:b/>
      <w:kern w:val="0"/>
      <w:sz w:val="24"/>
      <w:szCs w:val="22"/>
      <w:lang w:val="en-US"/>
      <w14:ligatures w14:val="none"/>
    </w:rPr>
  </w:style>
  <w:style w:type="character" w:customStyle="1" w:styleId="Heading6Char">
    <w:name w:val="Heading 6 Char"/>
    <w:basedOn w:val="DefaultParagraphFont"/>
    <w:link w:val="Heading6"/>
    <w:uiPriority w:val="9"/>
    <w:semiHidden/>
    <w:qFormat/>
    <w:rsid w:val="000C6E00"/>
    <w:rPr>
      <w:rFonts w:ascii="Calibri" w:hAnsiTheme="minorHAnsi"/>
      <w:b/>
      <w:kern w:val="0"/>
      <w:sz w:val="24"/>
      <w:szCs w:val="22"/>
      <w:lang w:val="en-US"/>
      <w14:ligatures w14:val="none"/>
    </w:rPr>
  </w:style>
  <w:style w:type="character" w:customStyle="1" w:styleId="Heading7Char">
    <w:name w:val="Heading 7 Char"/>
    <w:basedOn w:val="DefaultParagraphFont"/>
    <w:link w:val="Heading7"/>
    <w:uiPriority w:val="9"/>
    <w:semiHidden/>
    <w:qFormat/>
    <w:rsid w:val="000C6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C6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C6E0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C6E0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C6E0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C6E00"/>
    <w:rPr>
      <w:i/>
      <w:iCs/>
      <w:color w:val="404040" w:themeColor="text1" w:themeTint="BF"/>
    </w:rPr>
  </w:style>
  <w:style w:type="character" w:styleId="IntenseEmphasis">
    <w:name w:val="Intense Emphasis"/>
    <w:basedOn w:val="DefaultParagraphFont"/>
    <w:uiPriority w:val="21"/>
    <w:qFormat/>
    <w:rsid w:val="000C6E00"/>
    <w:rPr>
      <w:i/>
      <w:iCs/>
      <w:color w:val="0F4761" w:themeColor="accent1" w:themeShade="BF"/>
    </w:rPr>
  </w:style>
  <w:style w:type="character" w:customStyle="1" w:styleId="IntenseQuoteChar">
    <w:name w:val="Intense Quote Char"/>
    <w:basedOn w:val="DefaultParagraphFont"/>
    <w:link w:val="IntenseQuote"/>
    <w:uiPriority w:val="30"/>
    <w:qFormat/>
    <w:rsid w:val="000C6E00"/>
    <w:rPr>
      <w:i/>
      <w:iCs/>
      <w:color w:val="0F4761" w:themeColor="accent1" w:themeShade="BF"/>
    </w:rPr>
  </w:style>
  <w:style w:type="character" w:styleId="IntenseReference">
    <w:name w:val="Intense Reference"/>
    <w:basedOn w:val="DefaultParagraphFont"/>
    <w:uiPriority w:val="32"/>
    <w:qFormat/>
    <w:rsid w:val="000C6E00"/>
    <w:rPr>
      <w:b/>
      <w:bCs/>
      <w:smallCaps/>
      <w:color w:val="0F4761" w:themeColor="accent1" w:themeShade="BF"/>
      <w:spacing w:val="5"/>
    </w:rPr>
  </w:style>
  <w:style w:type="character" w:styleId="Hyperlink">
    <w:name w:val="Hyperlink"/>
    <w:uiPriority w:val="99"/>
    <w:rPr>
      <w:color w:val="0000FF"/>
      <w:u w:val="single"/>
    </w:rPr>
  </w:style>
  <w:style w:type="character" w:customStyle="1" w:styleId="HeaderChar">
    <w:name w:val="Header Char"/>
    <w:basedOn w:val="DefaultParagraphFont"/>
    <w:link w:val="Header"/>
    <w:uiPriority w:val="99"/>
    <w:qFormat/>
    <w:rsid w:val="00CD1C7E"/>
    <w:rPr>
      <w:kern w:val="0"/>
      <w:sz w:val="24"/>
      <w:szCs w:val="22"/>
      <w:lang w:val="en-US"/>
      <w14:ligatures w14:val="none"/>
    </w:rPr>
  </w:style>
  <w:style w:type="character" w:customStyle="1" w:styleId="FooterChar">
    <w:name w:val="Footer Char"/>
    <w:basedOn w:val="DefaultParagraphFont"/>
    <w:link w:val="Footer"/>
    <w:uiPriority w:val="99"/>
    <w:qFormat/>
    <w:rsid w:val="00CD1C7E"/>
    <w:rPr>
      <w:kern w:val="0"/>
      <w:sz w:val="24"/>
      <w:szCs w:val="22"/>
      <w:lang w:val="en-US"/>
      <w14:ligatures w14:val="none"/>
    </w:rPr>
  </w:style>
  <w:style w:type="character" w:styleId="CommentReference">
    <w:name w:val="annotation reference"/>
    <w:basedOn w:val="DefaultParagraphFont"/>
    <w:uiPriority w:val="99"/>
    <w:semiHidden/>
    <w:unhideWhenUsed/>
    <w:qFormat/>
    <w:rsid w:val="00F77388"/>
    <w:rPr>
      <w:sz w:val="16"/>
      <w:szCs w:val="16"/>
    </w:rPr>
  </w:style>
  <w:style w:type="character" w:customStyle="1" w:styleId="CommentTextChar">
    <w:name w:val="Comment Text Char"/>
    <w:basedOn w:val="DefaultParagraphFont"/>
    <w:link w:val="CommentText"/>
    <w:uiPriority w:val="99"/>
    <w:qFormat/>
    <w:rsid w:val="00F77388"/>
    <w:rPr>
      <w:szCs w:val="20"/>
    </w:rPr>
  </w:style>
  <w:style w:type="character" w:customStyle="1" w:styleId="CommentSubjectChar">
    <w:name w:val="Comment Subject Char"/>
    <w:basedOn w:val="CommentTextChar"/>
    <w:link w:val="CommentSubject"/>
    <w:uiPriority w:val="99"/>
    <w:semiHidden/>
    <w:qFormat/>
    <w:rsid w:val="00F77388"/>
    <w:rPr>
      <w:b/>
      <w:bCs/>
      <w:szCs w:val="20"/>
    </w:rPr>
  </w:style>
  <w:style w:type="character" w:customStyle="1" w:styleId="ListParagraphChar">
    <w:name w:val="List Paragraph Char"/>
    <w:aliases w:val="First bullet point Char,a List Paragraph Char,RUS List Char,Number abc Char,Noise heading Char,Text Char,Cell bullets Char,Credits Char,alphabet listing Char,List Paragraph1 Char,DGP Main Text Char"/>
    <w:link w:val="ListParagraph"/>
    <w:uiPriority w:val="34"/>
    <w:qFormat/>
    <w:locked/>
    <w:rsid w:val="00561C86"/>
  </w:style>
  <w:style w:type="character" w:customStyle="1" w:styleId="FootnoteTextChar">
    <w:name w:val="Footnote Text Char"/>
    <w:basedOn w:val="DefaultParagraphFont"/>
    <w:link w:val="FootnoteText"/>
    <w:uiPriority w:val="99"/>
    <w:semiHidden/>
    <w:qFormat/>
    <w:rsid w:val="008D727C"/>
    <w:rPr>
      <w:szCs w:val="20"/>
    </w:rPr>
  </w:style>
  <w:style w:type="character" w:customStyle="1" w:styleId="FootnoteCharacters">
    <w:name w:val="Footnote Characters"/>
    <w:basedOn w:val="DefaultParagraphFont"/>
    <w:uiPriority w:val="99"/>
    <w:semiHidden/>
    <w:unhideWhenUsed/>
    <w:qFormat/>
    <w:rsid w:val="008D727C"/>
    <w:rPr>
      <w:vertAlign w:val="superscript"/>
    </w:rPr>
  </w:style>
  <w:style w:type="character" w:styleId="FootnoteReference">
    <w:name w:val="footnote reference"/>
    <w:uiPriority w:val="99"/>
    <w:rPr>
      <w:vertAlign w:val="superscript"/>
    </w:rPr>
  </w:style>
  <w:style w:type="character" w:styleId="UnresolvedMention">
    <w:name w:val="Unresolved Mention"/>
    <w:basedOn w:val="DefaultParagraphFont"/>
    <w:uiPriority w:val="99"/>
    <w:semiHidden/>
    <w:unhideWhenUsed/>
    <w:qFormat/>
    <w:rsid w:val="002D61B2"/>
    <w:rPr>
      <w:color w:val="605E5C"/>
      <w:shd w:val="clear" w:color="auto" w:fill="E1DFDD"/>
    </w:rPr>
  </w:style>
  <w:style w:type="character" w:styleId="Strong">
    <w:name w:val="Strong"/>
    <w:basedOn w:val="DefaultParagraphFont"/>
    <w:uiPriority w:val="22"/>
    <w:qFormat/>
    <w:rsid w:val="004B248E"/>
    <w:rPr>
      <w:b/>
      <w:bCs/>
    </w:rPr>
  </w:style>
  <w:style w:type="character" w:customStyle="1" w:styleId="text-token-text-primary">
    <w:name w:val="text-token-text-primary"/>
    <w:basedOn w:val="DefaultParagraphFont"/>
    <w:qFormat/>
    <w:rsid w:val="005434CC"/>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pPr>
      <w:spacing w:before="0" w:after="140" w:line="276" w:lineRule="auto"/>
    </w:pPr>
  </w:style>
  <w:style w:type="paragraph" w:styleId="List">
    <w:name w:val="List"/>
    <w:basedOn w:val="BodyText"/>
    <w:rPr>
      <w:rFonts w:cs="FreeSans"/>
    </w:rPr>
  </w:style>
  <w:style w:type="paragraph" w:styleId="Caption">
    <w:name w:val="caption"/>
    <w:basedOn w:val="ListParagraph"/>
    <w:qFormat/>
    <w:rsid w:val="00D90ED3"/>
    <w:pPr>
      <w:spacing w:before="240" w:after="240"/>
      <w:ind w:right="363" w:firstLine="0"/>
      <w:contextualSpacing w:val="0"/>
    </w:pPr>
    <w:rPr>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0C6E00"/>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0C6E00"/>
    <w:pPr>
      <w:ind w:left="357" w:hanging="357"/>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E00"/>
    <w:pPr>
      <w:spacing w:before="160"/>
      <w:jc w:val="center"/>
    </w:pPr>
    <w:rPr>
      <w:i/>
      <w:iCs/>
      <w:color w:val="404040" w:themeColor="text1" w:themeTint="BF"/>
    </w:rPr>
  </w:style>
  <w:style w:type="paragraph" w:styleId="ListParagraph">
    <w:name w:val="List Paragraph"/>
    <w:aliases w:val="First bullet point,a List Paragraph,RUS List,Number abc,Noise heading,Text,Cell bullets,Credits,alphabet listing,List Paragraph1,DGP Main Text"/>
    <w:basedOn w:val="Normal"/>
    <w:link w:val="ListParagraphChar"/>
    <w:uiPriority w:val="34"/>
    <w:qFormat/>
    <w:rsid w:val="000C6E00"/>
    <w:pPr>
      <w:ind w:left="720"/>
      <w:contextualSpacing/>
    </w:pPr>
  </w:style>
  <w:style w:type="paragraph" w:styleId="IntenseQuote">
    <w:name w:val="Intense Quote"/>
    <w:basedOn w:val="Normal"/>
    <w:next w:val="Normal"/>
    <w:link w:val="IntenseQuoteChar"/>
    <w:uiPriority w:val="30"/>
    <w:qFormat/>
    <w:rsid w:val="000C6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F04A98"/>
    <w:pPr>
      <w:numPr>
        <w:numId w:val="0"/>
      </w:numPr>
      <w:spacing w:after="0" w:line="259" w:lineRule="auto"/>
      <w:ind w:left="357" w:hanging="357"/>
      <w:jc w:val="left"/>
      <w:outlineLvl w:val="9"/>
    </w:pPr>
    <w:rPr>
      <w:rFonts w:asciiTheme="majorHAnsi" w:hAnsiTheme="majorHAnsi"/>
      <w:bCs w:val="0"/>
      <w:color w:val="0F4761" w:themeColor="accent1" w:themeShade="BF"/>
      <w:sz w:val="32"/>
      <w:szCs w:val="32"/>
    </w:rPr>
  </w:style>
  <w:style w:type="paragraph" w:styleId="TOC2">
    <w:name w:val="toc 2"/>
    <w:basedOn w:val="Normal"/>
    <w:next w:val="Normal"/>
    <w:autoRedefine/>
    <w:uiPriority w:val="39"/>
    <w:unhideWhenUsed/>
    <w:rsid w:val="003C1C2F"/>
    <w:pPr>
      <w:spacing w:after="100"/>
      <w:ind w:left="240"/>
    </w:pPr>
  </w:style>
  <w:style w:type="paragraph" w:styleId="TOC1">
    <w:name w:val="toc 1"/>
    <w:basedOn w:val="Normal"/>
    <w:next w:val="Normal"/>
    <w:autoRedefine/>
    <w:uiPriority w:val="39"/>
    <w:unhideWhenUsed/>
    <w:rsid w:val="003C1C2F"/>
    <w:pPr>
      <w:tabs>
        <w:tab w:val="right" w:leader="dot" w:pos="9016"/>
      </w:tabs>
      <w:spacing w:before="360" w:after="360"/>
      <w:ind w:left="450" w:hanging="450"/>
    </w:pPr>
    <w:rPr>
      <w:rFonts w:cs="Times New Roman"/>
      <w:caps/>
      <w:kern w:val="2"/>
      <w:szCs w:val="24"/>
    </w:rPr>
  </w:style>
  <w:style w:type="paragraph" w:styleId="TOC3">
    <w:name w:val="toc 3"/>
    <w:basedOn w:val="Normal"/>
    <w:next w:val="Normal"/>
    <w:autoRedefine/>
    <w:uiPriority w:val="39"/>
    <w:unhideWhenUsed/>
    <w:rsid w:val="008B5A32"/>
    <w:pPr>
      <w:spacing w:before="0" w:after="0"/>
      <w:ind w:firstLine="0"/>
      <w:jc w:val="left"/>
    </w:pPr>
    <w:rPr>
      <w:rFonts w:cs="Times New Roman"/>
      <w:smallCaps/>
      <w:sz w:val="20"/>
      <w:szCs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04A98"/>
    <w:pPr>
      <w:tabs>
        <w:tab w:val="center" w:pos="4680"/>
        <w:tab w:val="right" w:pos="9360"/>
      </w:tabs>
      <w:spacing w:before="0" w:after="0" w:line="240" w:lineRule="auto"/>
    </w:pPr>
  </w:style>
  <w:style w:type="paragraph" w:styleId="Footer">
    <w:name w:val="footer"/>
    <w:basedOn w:val="Normal"/>
    <w:link w:val="FooterChar"/>
    <w:uiPriority w:val="99"/>
    <w:unhideWhenUsed/>
    <w:rsid w:val="00F04A98"/>
    <w:pPr>
      <w:tabs>
        <w:tab w:val="center" w:pos="4680"/>
        <w:tab w:val="right" w:pos="9360"/>
      </w:tabs>
      <w:spacing w:before="0" w:after="0" w:line="240" w:lineRule="auto"/>
    </w:pPr>
  </w:style>
  <w:style w:type="paragraph" w:styleId="CommentText">
    <w:name w:val="annotation text"/>
    <w:basedOn w:val="Normal"/>
    <w:link w:val="CommentTextChar"/>
    <w:uiPriority w:val="99"/>
    <w:unhideWhenUsed/>
    <w:rsid w:val="00F77388"/>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sid w:val="00F77388"/>
    <w:rPr>
      <w:b/>
      <w:bCs/>
    </w:rPr>
  </w:style>
  <w:style w:type="paragraph" w:styleId="Revision">
    <w:name w:val="Revision"/>
    <w:uiPriority w:val="99"/>
    <w:semiHidden/>
    <w:qFormat/>
    <w:rsid w:val="00BF6C5C"/>
  </w:style>
  <w:style w:type="paragraph" w:styleId="FootnoteText">
    <w:name w:val="footnote text"/>
    <w:basedOn w:val="Normal"/>
    <w:link w:val="FootnoteTextChar"/>
    <w:uiPriority w:val="99"/>
    <w:semiHidden/>
    <w:unhideWhenUsed/>
    <w:rsid w:val="008D727C"/>
    <w:pPr>
      <w:spacing w:before="0" w:after="0" w:line="240" w:lineRule="auto"/>
    </w:pPr>
    <w:rPr>
      <w:szCs w:val="20"/>
    </w:rPr>
  </w:style>
  <w:style w:type="paragraph" w:customStyle="1" w:styleId="Default">
    <w:name w:val="Default"/>
    <w:qFormat/>
    <w:rsid w:val="009E4646"/>
    <w:rPr>
      <w:rFonts w:eastAsia="Aptos" w:cs="Times New Roman"/>
      <w:color w:val="000000"/>
      <w:kern w:val="0"/>
      <w:sz w:val="24"/>
      <w:lang w:val="en-US"/>
    </w:rPr>
  </w:style>
  <w:style w:type="paragraph" w:styleId="TOC4">
    <w:name w:val="toc 4"/>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styleId="TOC5">
    <w:name w:val="toc 5"/>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styleId="TOC6">
    <w:name w:val="toc 6"/>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styleId="TOC7">
    <w:name w:val="toc 7"/>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styleId="TOC8">
    <w:name w:val="toc 8"/>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styleId="TOC9">
    <w:name w:val="toc 9"/>
    <w:basedOn w:val="Normal"/>
    <w:next w:val="Normal"/>
    <w:autoRedefine/>
    <w:uiPriority w:val="39"/>
    <w:semiHidden/>
    <w:unhideWhenUsed/>
    <w:rsid w:val="002C0FC3"/>
    <w:pPr>
      <w:spacing w:before="0" w:after="0"/>
      <w:ind w:firstLine="0"/>
      <w:jc w:val="left"/>
    </w:pPr>
    <w:rPr>
      <w:rFonts w:asciiTheme="minorHAnsi" w:hAnsiTheme="minorHAnsi" w:cs="Times New Roman"/>
      <w:sz w:val="22"/>
      <w:szCs w:val="26"/>
    </w:rPr>
  </w:style>
  <w:style w:type="paragraph" w:customStyle="1" w:styleId="isselectedend">
    <w:name w:val="isselectedend"/>
    <w:basedOn w:val="Normal"/>
    <w:qFormat/>
    <w:rsid w:val="005434CC"/>
    <w:pPr>
      <w:spacing w:beforeAutospacing="1" w:afterAutospacing="1" w:line="240" w:lineRule="auto"/>
      <w:ind w:firstLine="0"/>
      <w:jc w:val="left"/>
    </w:pPr>
    <w:rPr>
      <w:rFonts w:eastAsia="Times New Roman" w:cs="Times New Roman"/>
    </w:rPr>
  </w:style>
  <w:style w:type="paragraph" w:styleId="NormalWeb">
    <w:name w:val="Normal (Web)"/>
    <w:basedOn w:val="Normal"/>
    <w:uiPriority w:val="99"/>
    <w:unhideWhenUsed/>
    <w:qFormat/>
    <w:rsid w:val="00BD6A63"/>
    <w:pPr>
      <w:spacing w:beforeAutospacing="1" w:afterAutospacing="1" w:line="240" w:lineRule="auto"/>
      <w:ind w:firstLine="0"/>
      <w:jc w:val="left"/>
    </w:pPr>
    <w:rPr>
      <w:rFonts w:eastAsia="Times New Roman" w:cs="Times New Roman"/>
    </w:rPr>
  </w:style>
  <w:style w:type="table" w:styleId="PlainTable1">
    <w:name w:val="Plain Table 1"/>
    <w:basedOn w:val="TableNormal"/>
    <w:uiPriority w:val="41"/>
    <w:rsid w:val="001D75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1D75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AF95A-759A-4CA9-B276-5D4378D64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8042</Words>
  <Characters>45840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 Arora</dc:creator>
  <dc:description/>
  <cp:lastModifiedBy>Mihir Govande</cp:lastModifiedBy>
  <cp:revision>4</cp:revision>
  <cp:lastPrinted>2026-07-08T15:36:00Z</cp:lastPrinted>
  <dcterms:created xsi:type="dcterms:W3CDTF">2026-07-20T06:48:00Z</dcterms:created>
  <dcterms:modified xsi:type="dcterms:W3CDTF">2026-08-04T07:28:00Z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eda8b823-93d1-4af0-8fb0-4aa226a7a0ac</vt:lpwstr>
  </property>
</Properties>
</file>