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13201" w14:textId="22124F40" w:rsidR="004355EF" w:rsidRDefault="3378EA2B" w:rsidP="3378EA2B">
      <w:pPr>
        <w:jc w:val="center"/>
        <w:rPr>
          <w:rFonts w:ascii="Arial" w:eastAsia="Arial" w:hAnsi="Arial" w:cs="Arial"/>
          <w:b/>
          <w:bCs/>
          <w:sz w:val="32"/>
          <w:szCs w:val="32"/>
        </w:rPr>
      </w:pPr>
      <w:r w:rsidRPr="3378EA2B">
        <w:rPr>
          <w:rFonts w:ascii="Arial" w:eastAsia="Arial" w:hAnsi="Arial" w:cs="Arial"/>
          <w:b/>
          <w:bCs/>
          <w:sz w:val="32"/>
          <w:szCs w:val="32"/>
        </w:rPr>
        <w:t xml:space="preserve">Exploratory Data Analysis (EDA) Summary </w:t>
      </w:r>
      <w:r w:rsidR="0070160E">
        <w:br/>
      </w:r>
      <w:r w:rsidRPr="3378EA2B">
        <w:rPr>
          <w:rFonts w:ascii="Arial" w:eastAsia="Arial" w:hAnsi="Arial" w:cs="Arial"/>
          <w:b/>
          <w:bCs/>
          <w:sz w:val="32"/>
          <w:szCs w:val="32"/>
        </w:rPr>
        <w:t>Report Template</w:t>
      </w:r>
    </w:p>
    <w:p w14:paraId="672A6659" w14:textId="77777777" w:rsidR="004355EF" w:rsidRDefault="0070160E" w:rsidP="3378EA2B">
      <w:pPr>
        <w:rPr>
          <w:rFonts w:ascii="Arial" w:eastAsia="Arial" w:hAnsi="Arial" w:cs="Arial"/>
        </w:rPr>
      </w:pPr>
      <w:r>
        <w:br/>
      </w:r>
    </w:p>
    <w:p w14:paraId="32A36C38" w14:textId="77777777" w:rsidR="004355EF" w:rsidRDefault="3378EA2B" w:rsidP="3378EA2B">
      <w:pPr>
        <w:pStyle w:val="Heading1"/>
        <w:rPr>
          <w:rFonts w:ascii="Arial" w:eastAsia="Arial" w:hAnsi="Arial" w:cs="Arial"/>
          <w:color w:val="auto"/>
        </w:rPr>
      </w:pPr>
      <w:r w:rsidRPr="3378EA2B">
        <w:rPr>
          <w:rFonts w:ascii="Arial" w:eastAsia="Arial" w:hAnsi="Arial" w:cs="Arial"/>
          <w:color w:val="auto"/>
        </w:rPr>
        <w:t>1. Introduction</w:t>
      </w:r>
    </w:p>
    <w:p w14:paraId="79147E21" w14:textId="1996527F" w:rsidR="00C46DBC" w:rsidRDefault="00C46DBC" w:rsidP="00C46DBC">
      <w:pPr>
        <w:rPr>
          <w:rFonts w:ascii="Arial" w:eastAsia="Arial" w:hAnsi="Arial" w:cs="Arial"/>
        </w:rPr>
      </w:pPr>
      <w:r>
        <w:rPr>
          <w:rFonts w:ascii="Arial" w:eastAsia="Arial" w:hAnsi="Arial" w:cs="Arial"/>
        </w:rPr>
        <w:t xml:space="preserve">This document </w:t>
      </w:r>
      <w:proofErr w:type="gramStart"/>
      <w:r>
        <w:rPr>
          <w:rFonts w:ascii="Arial" w:eastAsia="Arial" w:hAnsi="Arial" w:cs="Arial"/>
        </w:rPr>
        <w:t xml:space="preserve">contains </w:t>
      </w:r>
      <w:r>
        <w:rPr>
          <w:rFonts w:ascii="Arial" w:eastAsia="Arial" w:hAnsi="Arial" w:cs="Arial"/>
        </w:rPr>
        <w:t xml:space="preserve"> an</w:t>
      </w:r>
      <w:proofErr w:type="gramEnd"/>
      <w:r>
        <w:rPr>
          <w:rFonts w:ascii="Arial" w:eastAsia="Arial" w:hAnsi="Arial" w:cs="Arial"/>
        </w:rPr>
        <w:t xml:space="preserve"> exploratory</w:t>
      </w:r>
      <w:r>
        <w:rPr>
          <w:rFonts w:ascii="Arial" w:eastAsia="Arial" w:hAnsi="Arial" w:cs="Arial"/>
        </w:rPr>
        <w:t xml:space="preserve"> data </w:t>
      </w:r>
      <w:r>
        <w:rPr>
          <w:rFonts w:ascii="Arial" w:eastAsia="Arial" w:hAnsi="Arial" w:cs="Arial"/>
        </w:rPr>
        <w:t xml:space="preserve"> analysis of </w:t>
      </w:r>
      <w:proofErr w:type="spellStart"/>
      <w:r>
        <w:rPr>
          <w:rFonts w:ascii="Arial" w:eastAsia="Arial" w:hAnsi="Arial" w:cs="Arial"/>
        </w:rPr>
        <w:t>Geldium’s</w:t>
      </w:r>
      <w:proofErr w:type="spellEnd"/>
      <w:r>
        <w:rPr>
          <w:rFonts w:ascii="Arial" w:eastAsia="Arial" w:hAnsi="Arial" w:cs="Arial"/>
        </w:rPr>
        <w:t xml:space="preserve"> dataset, </w:t>
      </w:r>
      <w:r w:rsidR="00F90F88">
        <w:rPr>
          <w:rFonts w:ascii="Arial" w:eastAsia="Arial" w:hAnsi="Arial" w:cs="Arial"/>
        </w:rPr>
        <w:t xml:space="preserve">which is </w:t>
      </w:r>
      <w:r>
        <w:rPr>
          <w:rFonts w:ascii="Arial" w:eastAsia="Arial" w:hAnsi="Arial" w:cs="Arial"/>
        </w:rPr>
        <w:t>aimed at evaluating data integrity, uncovering valuable insights, and identifying factors that contribute to the risk of credit default. The primary objective is to prepare the data for accurate predictive modeling and risk evaluation.</w:t>
      </w:r>
    </w:p>
    <w:p w14:paraId="07A628E0" w14:textId="1F84FDA3" w:rsidR="3378EA2B" w:rsidRDefault="3378EA2B" w:rsidP="3378EA2B"/>
    <w:p w14:paraId="5F1C37D1" w14:textId="77777777" w:rsidR="004355EF" w:rsidRDefault="3378EA2B" w:rsidP="3378EA2B">
      <w:pPr>
        <w:pStyle w:val="Heading1"/>
        <w:rPr>
          <w:rFonts w:ascii="Arial" w:eastAsia="Arial" w:hAnsi="Arial" w:cs="Arial"/>
          <w:color w:val="auto"/>
        </w:rPr>
      </w:pPr>
      <w:r w:rsidRPr="3378EA2B">
        <w:rPr>
          <w:rFonts w:ascii="Arial" w:eastAsia="Arial" w:hAnsi="Arial" w:cs="Arial"/>
          <w:color w:val="auto"/>
        </w:rPr>
        <w:t>2. Dataset Overview</w:t>
      </w:r>
    </w:p>
    <w:p w14:paraId="271DC243" w14:textId="77777777" w:rsidR="004355EF" w:rsidRDefault="3378EA2B" w:rsidP="3378EA2B">
      <w:pPr>
        <w:rPr>
          <w:rFonts w:ascii="Arial" w:eastAsia="Arial" w:hAnsi="Arial" w:cs="Arial"/>
        </w:rPr>
      </w:pPr>
      <w:r w:rsidRPr="3378EA2B">
        <w:rPr>
          <w:rFonts w:ascii="Arial" w:eastAsia="Arial" w:hAnsi="Arial" w:cs="Arial"/>
        </w:rPr>
        <w:t>This section summarizes the dataset, including the number of records, key variables, and data types. It also highlights any anomalies, duplicates, or inconsistencies observed during the initial review.</w:t>
      </w:r>
    </w:p>
    <w:p w14:paraId="503AF596" w14:textId="77777777" w:rsidR="004355EF" w:rsidRDefault="3378EA2B" w:rsidP="3378EA2B">
      <w:pPr>
        <w:rPr>
          <w:rFonts w:ascii="Arial" w:eastAsia="Arial" w:hAnsi="Arial" w:cs="Arial"/>
        </w:rPr>
      </w:pPr>
      <w:r w:rsidRPr="3378EA2B">
        <w:rPr>
          <w:rFonts w:ascii="Arial" w:eastAsia="Arial" w:hAnsi="Arial" w:cs="Arial"/>
        </w:rPr>
        <w:t>Key dataset attributes:</w:t>
      </w:r>
    </w:p>
    <w:p w14:paraId="42B2C3E9" w14:textId="4C4DC00B" w:rsidR="004355EF" w:rsidRDefault="3378EA2B" w:rsidP="3378EA2B">
      <w:pPr>
        <w:rPr>
          <w:rFonts w:ascii="Arial" w:eastAsia="Arial" w:hAnsi="Arial" w:cs="Arial"/>
        </w:rPr>
      </w:pPr>
      <w:r w:rsidRPr="3378EA2B">
        <w:rPr>
          <w:rFonts w:ascii="Arial" w:eastAsia="Arial" w:hAnsi="Arial" w:cs="Arial"/>
        </w:rPr>
        <w:t xml:space="preserve">- </w:t>
      </w:r>
      <w:r w:rsidR="00F90F88">
        <w:rPr>
          <w:rFonts w:ascii="Arial" w:eastAsia="Arial" w:hAnsi="Arial" w:cs="Arial"/>
        </w:rPr>
        <w:t>Number of records: [500</w:t>
      </w:r>
      <w:r w:rsidRPr="3378EA2B">
        <w:rPr>
          <w:rFonts w:ascii="Arial" w:eastAsia="Arial" w:hAnsi="Arial" w:cs="Arial"/>
        </w:rPr>
        <w:t>]</w:t>
      </w:r>
    </w:p>
    <w:p w14:paraId="1B1EB923" w14:textId="77777777" w:rsidR="00F90F88" w:rsidRDefault="3378EA2B" w:rsidP="00F90F88">
      <w:pPr>
        <w:rPr>
          <w:rFonts w:ascii="Arial" w:eastAsia="Arial" w:hAnsi="Arial" w:cs="Arial"/>
        </w:rPr>
      </w:pPr>
      <w:r w:rsidRPr="3378EA2B">
        <w:rPr>
          <w:rFonts w:ascii="Arial" w:eastAsia="Arial" w:hAnsi="Arial" w:cs="Arial"/>
        </w:rPr>
        <w:t xml:space="preserve">- Key variables: </w:t>
      </w:r>
      <w:r w:rsidR="00F90F88">
        <w:rPr>
          <w:rFonts w:ascii="Arial" w:eastAsia="Arial" w:hAnsi="Arial" w:cs="Arial"/>
        </w:rPr>
        <w:t>Age, Income, Credit Score, Credit Utilization, Missed Payments, Debt-to-Income Ratio</w:t>
      </w:r>
    </w:p>
    <w:p w14:paraId="66D18F34" w14:textId="319FF8E2" w:rsidR="004355EF" w:rsidRDefault="004355EF" w:rsidP="3378EA2B">
      <w:pPr>
        <w:rPr>
          <w:rFonts w:ascii="Arial" w:eastAsia="Arial" w:hAnsi="Arial" w:cs="Arial"/>
        </w:rPr>
      </w:pPr>
    </w:p>
    <w:p w14:paraId="70E6B5A6" w14:textId="77777777" w:rsidR="00F90F88" w:rsidRDefault="00F90F88" w:rsidP="00F90F88">
      <w:pPr>
        <w:rPr>
          <w:rFonts w:ascii="Arial" w:eastAsia="Arial" w:hAnsi="Arial" w:cs="Arial"/>
        </w:rPr>
      </w:pPr>
      <w:r>
        <w:rPr>
          <w:rFonts w:ascii="Arial" w:eastAsia="Arial" w:hAnsi="Arial" w:cs="Arial"/>
        </w:rPr>
        <w:t>- Data types:</w:t>
      </w:r>
    </w:p>
    <w:p w14:paraId="1D4B2892" w14:textId="5A3EADD7" w:rsidR="00F90F88" w:rsidRPr="00F90F88" w:rsidRDefault="00F90F88" w:rsidP="00F90F88">
      <w:pPr>
        <w:pStyle w:val="ListParagraph"/>
        <w:numPr>
          <w:ilvl w:val="0"/>
          <w:numId w:val="10"/>
        </w:numPr>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C</w:t>
      </w:r>
      <w:r w:rsidRPr="00F90F88">
        <w:rPr>
          <w:rFonts w:ascii="Times New Roman" w:eastAsia="Times New Roman" w:hAnsi="Times New Roman" w:cs="Times New Roman"/>
          <w:sz w:val="24"/>
          <w:szCs w:val="24"/>
          <w:lang w:val="en-IN" w:eastAsia="en-IN"/>
        </w:rPr>
        <w:t>ustomer_ID</w:t>
      </w:r>
      <w:proofErr w:type="spellEnd"/>
      <w:r w:rsidRPr="00F90F88">
        <w:rPr>
          <w:rFonts w:ascii="Times New Roman" w:eastAsia="Times New Roman" w:hAnsi="Times New Roman" w:cs="Times New Roman"/>
          <w:sz w:val="24"/>
          <w:szCs w:val="24"/>
          <w:lang w:val="en-IN" w:eastAsia="en-IN"/>
        </w:rPr>
        <w:t>: string/ID</w:t>
      </w:r>
    </w:p>
    <w:p w14:paraId="67603550" w14:textId="77777777" w:rsidR="00F90F88" w:rsidRPr="00F90F88" w:rsidRDefault="00F90F88" w:rsidP="00F90F8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 xml:space="preserve">Age, </w:t>
      </w:r>
      <w:proofErr w:type="spellStart"/>
      <w:r w:rsidRPr="00F90F88">
        <w:rPr>
          <w:rFonts w:ascii="Times New Roman" w:eastAsia="Times New Roman" w:hAnsi="Times New Roman" w:cs="Times New Roman"/>
          <w:sz w:val="24"/>
          <w:szCs w:val="24"/>
          <w:lang w:val="en-IN" w:eastAsia="en-IN"/>
        </w:rPr>
        <w:t>Missed_Payments</w:t>
      </w:r>
      <w:proofErr w:type="spellEnd"/>
      <w:r w:rsidRPr="00F90F88">
        <w:rPr>
          <w:rFonts w:ascii="Times New Roman" w:eastAsia="Times New Roman" w:hAnsi="Times New Roman" w:cs="Times New Roman"/>
          <w:sz w:val="24"/>
          <w:szCs w:val="24"/>
          <w:lang w:val="en-IN" w:eastAsia="en-IN"/>
        </w:rPr>
        <w:t xml:space="preserve">, </w:t>
      </w:r>
      <w:proofErr w:type="spellStart"/>
      <w:r w:rsidRPr="00F90F88">
        <w:rPr>
          <w:rFonts w:ascii="Times New Roman" w:eastAsia="Times New Roman" w:hAnsi="Times New Roman" w:cs="Times New Roman"/>
          <w:sz w:val="24"/>
          <w:szCs w:val="24"/>
          <w:lang w:val="en-IN" w:eastAsia="en-IN"/>
        </w:rPr>
        <w:t>Account_Tenure</w:t>
      </w:r>
      <w:proofErr w:type="spellEnd"/>
      <w:r w:rsidRPr="00F90F88">
        <w:rPr>
          <w:rFonts w:ascii="Times New Roman" w:eastAsia="Times New Roman" w:hAnsi="Times New Roman" w:cs="Times New Roman"/>
          <w:sz w:val="24"/>
          <w:szCs w:val="24"/>
          <w:lang w:val="en-IN" w:eastAsia="en-IN"/>
        </w:rPr>
        <w:t>: integer</w:t>
      </w:r>
    </w:p>
    <w:p w14:paraId="70EA3AD1" w14:textId="77777777" w:rsidR="00F90F88" w:rsidRPr="00F90F88" w:rsidRDefault="00F90F88" w:rsidP="00F90F8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 xml:space="preserve">Income, </w:t>
      </w:r>
      <w:proofErr w:type="spellStart"/>
      <w:r w:rsidRPr="00F90F88">
        <w:rPr>
          <w:rFonts w:ascii="Times New Roman" w:eastAsia="Times New Roman" w:hAnsi="Times New Roman" w:cs="Times New Roman"/>
          <w:sz w:val="24"/>
          <w:szCs w:val="24"/>
          <w:lang w:val="en-IN" w:eastAsia="en-IN"/>
        </w:rPr>
        <w:t>Credit_Score</w:t>
      </w:r>
      <w:proofErr w:type="spellEnd"/>
      <w:r w:rsidRPr="00F90F88">
        <w:rPr>
          <w:rFonts w:ascii="Times New Roman" w:eastAsia="Times New Roman" w:hAnsi="Times New Roman" w:cs="Times New Roman"/>
          <w:sz w:val="24"/>
          <w:szCs w:val="24"/>
          <w:lang w:val="en-IN" w:eastAsia="en-IN"/>
        </w:rPr>
        <w:t xml:space="preserve">, </w:t>
      </w:r>
      <w:proofErr w:type="spellStart"/>
      <w:r w:rsidRPr="00F90F88">
        <w:rPr>
          <w:rFonts w:ascii="Times New Roman" w:eastAsia="Times New Roman" w:hAnsi="Times New Roman" w:cs="Times New Roman"/>
          <w:sz w:val="24"/>
          <w:szCs w:val="24"/>
          <w:lang w:val="en-IN" w:eastAsia="en-IN"/>
        </w:rPr>
        <w:t>Credit_Utilization</w:t>
      </w:r>
      <w:proofErr w:type="spellEnd"/>
      <w:r w:rsidRPr="00F90F88">
        <w:rPr>
          <w:rFonts w:ascii="Times New Roman" w:eastAsia="Times New Roman" w:hAnsi="Times New Roman" w:cs="Times New Roman"/>
          <w:sz w:val="24"/>
          <w:szCs w:val="24"/>
          <w:lang w:val="en-IN" w:eastAsia="en-IN"/>
        </w:rPr>
        <w:t xml:space="preserve">, </w:t>
      </w:r>
      <w:proofErr w:type="spellStart"/>
      <w:r w:rsidRPr="00F90F88">
        <w:rPr>
          <w:rFonts w:ascii="Times New Roman" w:eastAsia="Times New Roman" w:hAnsi="Times New Roman" w:cs="Times New Roman"/>
          <w:sz w:val="24"/>
          <w:szCs w:val="24"/>
          <w:lang w:val="en-IN" w:eastAsia="en-IN"/>
        </w:rPr>
        <w:t>Loan_Balance</w:t>
      </w:r>
      <w:proofErr w:type="spellEnd"/>
      <w:r w:rsidRPr="00F90F88">
        <w:rPr>
          <w:rFonts w:ascii="Times New Roman" w:eastAsia="Times New Roman" w:hAnsi="Times New Roman" w:cs="Times New Roman"/>
          <w:sz w:val="24"/>
          <w:szCs w:val="24"/>
          <w:lang w:val="en-IN" w:eastAsia="en-IN"/>
        </w:rPr>
        <w:t xml:space="preserve">, </w:t>
      </w:r>
      <w:proofErr w:type="spellStart"/>
      <w:r w:rsidRPr="00F90F88">
        <w:rPr>
          <w:rFonts w:ascii="Times New Roman" w:eastAsia="Times New Roman" w:hAnsi="Times New Roman" w:cs="Times New Roman"/>
          <w:sz w:val="24"/>
          <w:szCs w:val="24"/>
          <w:lang w:val="en-IN" w:eastAsia="en-IN"/>
        </w:rPr>
        <w:t>Debt_to_Income_Ratio</w:t>
      </w:r>
      <w:proofErr w:type="spellEnd"/>
      <w:r w:rsidRPr="00F90F88">
        <w:rPr>
          <w:rFonts w:ascii="Times New Roman" w:eastAsia="Times New Roman" w:hAnsi="Times New Roman" w:cs="Times New Roman"/>
          <w:sz w:val="24"/>
          <w:szCs w:val="24"/>
          <w:lang w:val="en-IN" w:eastAsia="en-IN"/>
        </w:rPr>
        <w:t>: float/continuous</w:t>
      </w:r>
    </w:p>
    <w:p w14:paraId="64DF4E52" w14:textId="77777777" w:rsidR="00F90F88" w:rsidRPr="00F90F88" w:rsidRDefault="00F90F88" w:rsidP="00F90F8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90F88">
        <w:rPr>
          <w:rFonts w:ascii="Times New Roman" w:eastAsia="Times New Roman" w:hAnsi="Times New Roman" w:cs="Times New Roman"/>
          <w:sz w:val="24"/>
          <w:szCs w:val="24"/>
          <w:lang w:val="en-IN" w:eastAsia="en-IN"/>
        </w:rPr>
        <w:t>Delinquent_Account</w:t>
      </w:r>
      <w:proofErr w:type="spellEnd"/>
      <w:r w:rsidRPr="00F90F88">
        <w:rPr>
          <w:rFonts w:ascii="Times New Roman" w:eastAsia="Times New Roman" w:hAnsi="Times New Roman" w:cs="Times New Roman"/>
          <w:sz w:val="24"/>
          <w:szCs w:val="24"/>
          <w:lang w:val="en-IN" w:eastAsia="en-IN"/>
        </w:rPr>
        <w:t>: binary/categorical</w:t>
      </w:r>
    </w:p>
    <w:p w14:paraId="65CC9D4B" w14:textId="77777777" w:rsidR="00F90F88" w:rsidRPr="00F90F88" w:rsidRDefault="00F90F88" w:rsidP="00F90F88">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90F88">
        <w:rPr>
          <w:rFonts w:ascii="Times New Roman" w:eastAsia="Times New Roman" w:hAnsi="Times New Roman" w:cs="Times New Roman"/>
          <w:sz w:val="24"/>
          <w:szCs w:val="24"/>
          <w:lang w:val="en-IN" w:eastAsia="en-IN"/>
        </w:rPr>
        <w:t>Employment_Status</w:t>
      </w:r>
      <w:proofErr w:type="spellEnd"/>
      <w:r w:rsidRPr="00F90F88">
        <w:rPr>
          <w:rFonts w:ascii="Times New Roman" w:eastAsia="Times New Roman" w:hAnsi="Times New Roman" w:cs="Times New Roman"/>
          <w:sz w:val="24"/>
          <w:szCs w:val="24"/>
          <w:lang w:val="en-IN" w:eastAsia="en-IN"/>
        </w:rPr>
        <w:t xml:space="preserve">, </w:t>
      </w:r>
      <w:proofErr w:type="spellStart"/>
      <w:r w:rsidRPr="00F90F88">
        <w:rPr>
          <w:rFonts w:ascii="Times New Roman" w:eastAsia="Times New Roman" w:hAnsi="Times New Roman" w:cs="Times New Roman"/>
          <w:sz w:val="24"/>
          <w:szCs w:val="24"/>
          <w:lang w:val="en-IN" w:eastAsia="en-IN"/>
        </w:rPr>
        <w:t>Credit_Card_Type</w:t>
      </w:r>
      <w:proofErr w:type="spellEnd"/>
      <w:r w:rsidRPr="00F90F88">
        <w:rPr>
          <w:rFonts w:ascii="Times New Roman" w:eastAsia="Times New Roman" w:hAnsi="Times New Roman" w:cs="Times New Roman"/>
          <w:sz w:val="24"/>
          <w:szCs w:val="24"/>
          <w:lang w:val="en-IN" w:eastAsia="en-IN"/>
        </w:rPr>
        <w:t>, Location, Month_1…Month_6: categorical</w:t>
      </w:r>
    </w:p>
    <w:p w14:paraId="1713A2A9" w14:textId="7FC98455" w:rsidR="004355EF" w:rsidRDefault="004355EF" w:rsidP="3378EA2B">
      <w:pPr>
        <w:rPr>
          <w:rFonts w:ascii="Arial" w:eastAsia="Arial" w:hAnsi="Arial" w:cs="Arial"/>
        </w:rPr>
      </w:pPr>
    </w:p>
    <w:p w14:paraId="3EE42386" w14:textId="77777777" w:rsidR="00F90F88" w:rsidRDefault="00F90F88" w:rsidP="3378EA2B">
      <w:pPr>
        <w:pStyle w:val="Heading1"/>
        <w:rPr>
          <w:rFonts w:ascii="Arial" w:eastAsia="Arial" w:hAnsi="Arial" w:cs="Arial"/>
          <w:color w:val="auto"/>
        </w:rPr>
      </w:pPr>
    </w:p>
    <w:p w14:paraId="5A7A0835" w14:textId="77777777" w:rsidR="004355EF" w:rsidRDefault="3378EA2B" w:rsidP="3378EA2B">
      <w:pPr>
        <w:pStyle w:val="Heading1"/>
        <w:rPr>
          <w:rFonts w:ascii="Arial" w:eastAsia="Arial" w:hAnsi="Arial" w:cs="Arial"/>
          <w:color w:val="auto"/>
        </w:rPr>
      </w:pPr>
      <w:r w:rsidRPr="3378EA2B">
        <w:rPr>
          <w:rFonts w:ascii="Arial" w:eastAsia="Arial" w:hAnsi="Arial" w:cs="Arial"/>
          <w:color w:val="auto"/>
        </w:rPr>
        <w:t>3. Missing Data Analysis</w:t>
      </w:r>
    </w:p>
    <w:p w14:paraId="59A9D602" w14:textId="77777777" w:rsidR="00524DEC" w:rsidRPr="00524DEC" w:rsidRDefault="00524DEC" w:rsidP="00524DEC">
      <w:p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Identifying and addressing missing data is critical to ensuring model accuracy. This section outlines missing values in the dataset, the approach taken to handle them, and justifications for the chosen methods.</w:t>
      </w:r>
    </w:p>
    <w:p w14:paraId="6383E011" w14:textId="77777777" w:rsidR="00524DEC" w:rsidRPr="00524DEC" w:rsidRDefault="00524DEC" w:rsidP="00524DEC">
      <w:p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b/>
          <w:bCs/>
          <w:sz w:val="24"/>
          <w:szCs w:val="24"/>
          <w:lang w:val="en-IN" w:eastAsia="en-IN"/>
        </w:rPr>
        <w:t>Key missing data findings:</w:t>
      </w:r>
    </w:p>
    <w:p w14:paraId="5537E81B" w14:textId="77777777" w:rsidR="00524DEC" w:rsidRPr="00524DEC" w:rsidRDefault="00524DEC" w:rsidP="00524DEC">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b/>
          <w:bCs/>
          <w:sz w:val="24"/>
          <w:szCs w:val="24"/>
          <w:lang w:val="en-IN" w:eastAsia="en-IN"/>
        </w:rPr>
        <w:t>Variables with missing values:</w:t>
      </w:r>
    </w:p>
    <w:p w14:paraId="5CD03E48" w14:textId="77777777" w:rsidR="00524DEC" w:rsidRPr="00524DEC" w:rsidRDefault="00524DEC" w:rsidP="00524DE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i/>
          <w:iCs/>
          <w:sz w:val="24"/>
          <w:szCs w:val="24"/>
          <w:lang w:val="en-IN" w:eastAsia="en-IN"/>
        </w:rPr>
        <w:t>Loan_Balance</w:t>
      </w:r>
      <w:proofErr w:type="spellEnd"/>
      <w:r w:rsidRPr="00524DEC">
        <w:rPr>
          <w:rFonts w:ascii="Times New Roman" w:eastAsia="Times New Roman" w:hAnsi="Times New Roman" w:cs="Times New Roman"/>
          <w:sz w:val="24"/>
          <w:szCs w:val="24"/>
          <w:lang w:val="en-IN" w:eastAsia="en-IN"/>
        </w:rPr>
        <w:t xml:space="preserve"> (20 records, 4% missing)</w:t>
      </w:r>
    </w:p>
    <w:p w14:paraId="3BF22E44" w14:textId="77777777" w:rsidR="00524DEC" w:rsidRPr="00524DEC" w:rsidRDefault="00524DEC" w:rsidP="00524DE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i/>
          <w:iCs/>
          <w:sz w:val="24"/>
          <w:szCs w:val="24"/>
          <w:lang w:val="en-IN" w:eastAsia="en-IN"/>
        </w:rPr>
        <w:t>Debt_to_Income_Ratio</w:t>
      </w:r>
      <w:proofErr w:type="spellEnd"/>
      <w:r w:rsidRPr="00524DEC">
        <w:rPr>
          <w:rFonts w:ascii="Times New Roman" w:eastAsia="Times New Roman" w:hAnsi="Times New Roman" w:cs="Times New Roman"/>
          <w:sz w:val="24"/>
          <w:szCs w:val="24"/>
          <w:lang w:val="en-IN" w:eastAsia="en-IN"/>
        </w:rPr>
        <w:t xml:space="preserve"> (15 records, 3% missing)</w:t>
      </w:r>
    </w:p>
    <w:p w14:paraId="54E5C5F0" w14:textId="77777777" w:rsidR="00524DEC" w:rsidRPr="00524DEC" w:rsidRDefault="00524DEC" w:rsidP="00524DEC">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i/>
          <w:iCs/>
          <w:sz w:val="24"/>
          <w:szCs w:val="24"/>
          <w:lang w:val="en-IN" w:eastAsia="en-IN"/>
        </w:rPr>
        <w:t>Credit_Utilization</w:t>
      </w:r>
      <w:proofErr w:type="spellEnd"/>
      <w:r w:rsidRPr="00524DEC">
        <w:rPr>
          <w:rFonts w:ascii="Times New Roman" w:eastAsia="Times New Roman" w:hAnsi="Times New Roman" w:cs="Times New Roman"/>
          <w:sz w:val="24"/>
          <w:szCs w:val="24"/>
          <w:lang w:val="en-IN" w:eastAsia="en-IN"/>
        </w:rPr>
        <w:t xml:space="preserve"> (8 records, 1.6% missing)</w:t>
      </w:r>
    </w:p>
    <w:p w14:paraId="1AE8C5E1" w14:textId="77777777" w:rsidR="00524DEC" w:rsidRPr="00524DEC" w:rsidRDefault="00524DEC" w:rsidP="00524DEC"/>
    <w:p w14:paraId="4517D78B" w14:textId="77777777" w:rsidR="00F90F88" w:rsidRPr="00F90F88" w:rsidRDefault="00F90F88" w:rsidP="00F90F88">
      <w:p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b/>
          <w:bCs/>
          <w:sz w:val="24"/>
          <w:szCs w:val="24"/>
          <w:lang w:val="en-IN" w:eastAsia="en-IN"/>
        </w:rPr>
        <w:t>Missing data treatment:</w:t>
      </w:r>
    </w:p>
    <w:p w14:paraId="3EB4BBB3" w14:textId="77777777" w:rsidR="00F90F88" w:rsidRPr="00F90F88" w:rsidRDefault="00F90F88" w:rsidP="00F90F8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90F88">
        <w:rPr>
          <w:rFonts w:ascii="Times New Roman" w:eastAsia="Times New Roman" w:hAnsi="Times New Roman" w:cs="Times New Roman"/>
          <w:b/>
          <w:bCs/>
          <w:sz w:val="24"/>
          <w:szCs w:val="24"/>
          <w:lang w:val="en-IN" w:eastAsia="en-IN"/>
        </w:rPr>
        <w:t>Loan_Balance</w:t>
      </w:r>
      <w:proofErr w:type="spellEnd"/>
    </w:p>
    <w:p w14:paraId="36919174" w14:textId="77777777" w:rsidR="00F90F88" w:rsidRPr="00F90F88" w:rsidRDefault="00F90F88" w:rsidP="00F90F88">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 xml:space="preserve">Method: Imputation with median by </w:t>
      </w:r>
      <w:proofErr w:type="spellStart"/>
      <w:r w:rsidRPr="00F90F88">
        <w:rPr>
          <w:rFonts w:ascii="Times New Roman" w:eastAsia="Times New Roman" w:hAnsi="Times New Roman" w:cs="Times New Roman"/>
          <w:i/>
          <w:iCs/>
          <w:sz w:val="24"/>
          <w:szCs w:val="24"/>
          <w:lang w:val="en-IN" w:eastAsia="en-IN"/>
        </w:rPr>
        <w:t>Credit_Card_Type</w:t>
      </w:r>
      <w:proofErr w:type="spellEnd"/>
    </w:p>
    <w:p w14:paraId="0985D74D" w14:textId="77777777" w:rsidR="00F90F88" w:rsidRPr="00F90F88" w:rsidRDefault="00F90F88" w:rsidP="00F90F88">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Justification: Preserves distribution differences across card products and mitigates skew from large balances.</w:t>
      </w:r>
    </w:p>
    <w:p w14:paraId="6EA15560" w14:textId="77777777" w:rsidR="00F90F88" w:rsidRPr="00F90F88" w:rsidRDefault="00F90F88" w:rsidP="00F90F8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90F88">
        <w:rPr>
          <w:rFonts w:ascii="Times New Roman" w:eastAsia="Times New Roman" w:hAnsi="Times New Roman" w:cs="Times New Roman"/>
          <w:b/>
          <w:bCs/>
          <w:sz w:val="24"/>
          <w:szCs w:val="24"/>
          <w:lang w:val="en-IN" w:eastAsia="en-IN"/>
        </w:rPr>
        <w:t>Debt_to_Income_Ratio</w:t>
      </w:r>
      <w:proofErr w:type="spellEnd"/>
    </w:p>
    <w:p w14:paraId="3E552AC1" w14:textId="77777777" w:rsidR="00F90F88" w:rsidRPr="00F90F88" w:rsidRDefault="00F90F88" w:rsidP="00F90F88">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Method: Imputation with overall median</w:t>
      </w:r>
    </w:p>
    <w:p w14:paraId="6455F0B9" w14:textId="77777777" w:rsidR="00F90F88" w:rsidRPr="00F90F88" w:rsidRDefault="00F90F88" w:rsidP="00F90F88">
      <w:pPr>
        <w:numPr>
          <w:ilvl w:val="1"/>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Justification: Ratio is fairly stable across population; median fill avoids bias from extreme values.</w:t>
      </w:r>
    </w:p>
    <w:p w14:paraId="5000D567" w14:textId="77777777" w:rsidR="00F90F88" w:rsidRPr="00F90F88" w:rsidRDefault="00F90F88" w:rsidP="00F90F88">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F90F88">
        <w:rPr>
          <w:rFonts w:ascii="Times New Roman" w:eastAsia="Times New Roman" w:hAnsi="Times New Roman" w:cs="Times New Roman"/>
          <w:b/>
          <w:bCs/>
          <w:sz w:val="24"/>
          <w:szCs w:val="24"/>
          <w:lang w:val="en-IN" w:eastAsia="en-IN"/>
        </w:rPr>
        <w:t>Credit_Utilization</w:t>
      </w:r>
      <w:proofErr w:type="spellEnd"/>
    </w:p>
    <w:p w14:paraId="4B07B559" w14:textId="77777777" w:rsidR="00F90F88" w:rsidRPr="00F90F88" w:rsidRDefault="00F90F88" w:rsidP="00F90F8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 xml:space="preserve">Method: Cap outliers at 1.0, then impute missing with median by </w:t>
      </w:r>
      <w:proofErr w:type="spellStart"/>
      <w:r w:rsidRPr="00F90F88">
        <w:rPr>
          <w:rFonts w:ascii="Times New Roman" w:eastAsia="Times New Roman" w:hAnsi="Times New Roman" w:cs="Times New Roman"/>
          <w:i/>
          <w:iCs/>
          <w:sz w:val="24"/>
          <w:szCs w:val="24"/>
          <w:lang w:val="en-IN" w:eastAsia="en-IN"/>
        </w:rPr>
        <w:t>Credit_Card_Type</w:t>
      </w:r>
      <w:proofErr w:type="spellEnd"/>
    </w:p>
    <w:p w14:paraId="01C4E483" w14:textId="77777777" w:rsidR="00F90F88" w:rsidRPr="00F90F88" w:rsidRDefault="00F90F88" w:rsidP="00F90F88">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F90F88">
        <w:rPr>
          <w:rFonts w:ascii="Times New Roman" w:eastAsia="Times New Roman" w:hAnsi="Times New Roman" w:cs="Times New Roman"/>
          <w:sz w:val="24"/>
          <w:szCs w:val="24"/>
          <w:lang w:val="en-IN" w:eastAsia="en-IN"/>
        </w:rPr>
        <w:t>Justification: Enforces realistic utilization bounds and respects segment-level usage patterns.</w:t>
      </w:r>
    </w:p>
    <w:p w14:paraId="5133ACDC" w14:textId="77777777" w:rsidR="00F90F88" w:rsidRPr="00F90F88" w:rsidRDefault="00F90F88" w:rsidP="00F90F88"/>
    <w:p w14:paraId="733477C8" w14:textId="77777777" w:rsidR="00F90F88" w:rsidRPr="00F90F88" w:rsidRDefault="00F90F88" w:rsidP="00F90F88"/>
    <w:p w14:paraId="73DD0075" w14:textId="77777777" w:rsidR="00524DEC" w:rsidRPr="00524DEC" w:rsidRDefault="3378EA2B" w:rsidP="00524DEC">
      <w:pPr>
        <w:ind w:left="720"/>
        <w:rPr>
          <w:rFonts w:hAnsi="Symbol"/>
          <w:b/>
          <w:sz w:val="28"/>
          <w:szCs w:val="28"/>
        </w:rPr>
      </w:pPr>
      <w:r w:rsidRPr="00524DEC">
        <w:rPr>
          <w:rFonts w:ascii="Arial" w:eastAsia="Arial" w:hAnsi="Arial" w:cs="Arial"/>
          <w:b/>
          <w:sz w:val="28"/>
          <w:szCs w:val="28"/>
        </w:rPr>
        <w:t>4. Key Findings and Risk Indicators</w:t>
      </w:r>
      <w:r w:rsidR="00524DEC" w:rsidRPr="00524DEC">
        <w:rPr>
          <w:rFonts w:hAnsi="Symbol"/>
          <w:b/>
          <w:sz w:val="28"/>
          <w:szCs w:val="28"/>
        </w:rPr>
        <w:t xml:space="preserve"> </w:t>
      </w:r>
    </w:p>
    <w:p w14:paraId="1E6D3F82" w14:textId="77777777" w:rsidR="00524DEC" w:rsidRDefault="00524DEC" w:rsidP="00524DEC">
      <w:pPr>
        <w:ind w:left="720"/>
        <w:rPr>
          <w:rFonts w:hAnsi="Symbol"/>
        </w:rPr>
      </w:pPr>
    </w:p>
    <w:p w14:paraId="0A4B8B62" w14:textId="00678530" w:rsidR="00524DEC" w:rsidRPr="00524DEC" w:rsidRDefault="00524DEC" w:rsidP="00524DEC">
      <w:pPr>
        <w:ind w:left="720"/>
        <w:rPr>
          <w:rFonts w:ascii="Times New Roman" w:eastAsia="Times New Roman" w:hAnsi="Times New Roman" w:cs="Times New Roman"/>
          <w:sz w:val="24"/>
          <w:szCs w:val="24"/>
          <w:lang w:val="en-IN" w:eastAsia="en-IN"/>
        </w:rPr>
      </w:pPr>
      <w:proofErr w:type="gramStart"/>
      <w:r w:rsidRPr="00524DEC">
        <w:rPr>
          <w:rFonts w:ascii="Times New Roman" w:eastAsia="Times New Roman" w:hAnsi="Symbol" w:cs="Times New Roman"/>
          <w:sz w:val="24"/>
          <w:szCs w:val="24"/>
          <w:lang w:val="en-IN" w:eastAsia="en-IN"/>
        </w:rPr>
        <w:t></w:t>
      </w:r>
      <w:r w:rsidRPr="00524DEC">
        <w:rPr>
          <w:rFonts w:ascii="Times New Roman" w:eastAsia="Times New Roman" w:hAnsi="Times New Roman" w:cs="Times New Roman"/>
          <w:sz w:val="24"/>
          <w:szCs w:val="24"/>
          <w:lang w:val="en-IN" w:eastAsia="en-IN"/>
        </w:rPr>
        <w:t xml:space="preserve">  </w:t>
      </w:r>
      <w:proofErr w:type="spellStart"/>
      <w:r w:rsidRPr="00524DEC">
        <w:rPr>
          <w:rFonts w:ascii="Times New Roman" w:eastAsia="Times New Roman" w:hAnsi="Times New Roman" w:cs="Times New Roman"/>
          <w:b/>
          <w:bCs/>
          <w:sz w:val="24"/>
          <w:szCs w:val="24"/>
          <w:lang w:val="en-IN" w:eastAsia="en-IN"/>
        </w:rPr>
        <w:t>Missed</w:t>
      </w:r>
      <w:proofErr w:type="gramEnd"/>
      <w:r w:rsidRPr="00524DEC">
        <w:rPr>
          <w:rFonts w:ascii="Times New Roman" w:eastAsia="Times New Roman" w:hAnsi="Times New Roman" w:cs="Times New Roman"/>
          <w:b/>
          <w:bCs/>
          <w:sz w:val="24"/>
          <w:szCs w:val="24"/>
          <w:lang w:val="en-IN" w:eastAsia="en-IN"/>
        </w:rPr>
        <w:t>_Payments</w:t>
      </w:r>
      <w:proofErr w:type="spellEnd"/>
      <w:r w:rsidRPr="00524DEC">
        <w:rPr>
          <w:rFonts w:ascii="Times New Roman" w:eastAsia="Times New Roman" w:hAnsi="Times New Roman" w:cs="Times New Roman"/>
          <w:sz w:val="24"/>
          <w:szCs w:val="24"/>
          <w:lang w:val="en-IN" w:eastAsia="en-IN"/>
        </w:rPr>
        <w:t xml:space="preserve">: Direct measure of past payment </w:t>
      </w:r>
      <w:proofErr w:type="spellStart"/>
      <w:r w:rsidRPr="00524DEC">
        <w:rPr>
          <w:rFonts w:ascii="Times New Roman" w:eastAsia="Times New Roman" w:hAnsi="Times New Roman" w:cs="Times New Roman"/>
          <w:sz w:val="24"/>
          <w:szCs w:val="24"/>
          <w:lang w:val="en-IN" w:eastAsia="en-IN"/>
        </w:rPr>
        <w:t>behavior</w:t>
      </w:r>
      <w:proofErr w:type="spellEnd"/>
      <w:r w:rsidRPr="00524DEC">
        <w:rPr>
          <w:rFonts w:ascii="Times New Roman" w:eastAsia="Times New Roman" w:hAnsi="Times New Roman" w:cs="Times New Roman"/>
          <w:sz w:val="24"/>
          <w:szCs w:val="24"/>
          <w:lang w:val="en-IN" w:eastAsia="en-IN"/>
        </w:rPr>
        <w:t>—more misses → higher future default risk.</w:t>
      </w:r>
    </w:p>
    <w:p w14:paraId="0F2ED6EB" w14:textId="77777777" w:rsidR="00524DEC" w:rsidRPr="00524DEC" w:rsidRDefault="00524DEC" w:rsidP="00524DE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lastRenderedPageBreak/>
        <w:t>Credit_Utilization</w:t>
      </w:r>
      <w:proofErr w:type="spellEnd"/>
      <w:r w:rsidRPr="00524DEC">
        <w:rPr>
          <w:rFonts w:ascii="Times New Roman" w:eastAsia="Times New Roman" w:hAnsi="Times New Roman" w:cs="Times New Roman"/>
          <w:sz w:val="24"/>
          <w:szCs w:val="24"/>
          <w:lang w:val="en-IN" w:eastAsia="en-IN"/>
        </w:rPr>
        <w:t>: Utilization ≥80% signals overextension, strongly tied to delinquency.</w:t>
      </w:r>
    </w:p>
    <w:p w14:paraId="12F79E36" w14:textId="77777777" w:rsidR="00524DEC" w:rsidRPr="00524DEC" w:rsidRDefault="00524DEC" w:rsidP="00524DE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Debt_to_Income_Ratio</w:t>
      </w:r>
      <w:proofErr w:type="spellEnd"/>
      <w:r w:rsidRPr="00524DEC">
        <w:rPr>
          <w:rFonts w:ascii="Times New Roman" w:eastAsia="Times New Roman" w:hAnsi="Times New Roman" w:cs="Times New Roman"/>
          <w:sz w:val="24"/>
          <w:szCs w:val="24"/>
          <w:lang w:val="en-IN" w:eastAsia="en-IN"/>
        </w:rPr>
        <w:t>: High DTI (&gt;50%) shows limited repayment capacity, boosting risk.</w:t>
      </w:r>
    </w:p>
    <w:p w14:paraId="407D30DE" w14:textId="77777777" w:rsidR="00524DEC" w:rsidRPr="00524DEC" w:rsidRDefault="00524DEC" w:rsidP="00524DE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Delinquent_Account</w:t>
      </w:r>
      <w:proofErr w:type="spellEnd"/>
      <w:r w:rsidRPr="00524DEC">
        <w:rPr>
          <w:rFonts w:ascii="Times New Roman" w:eastAsia="Times New Roman" w:hAnsi="Times New Roman" w:cs="Times New Roman"/>
          <w:sz w:val="24"/>
          <w:szCs w:val="24"/>
          <w:lang w:val="en-IN" w:eastAsia="en-IN"/>
        </w:rPr>
        <w:t>: A history of delinquency is the single best predictor of future default.</w:t>
      </w:r>
    </w:p>
    <w:p w14:paraId="1DC897C8" w14:textId="77777777" w:rsidR="00524DEC" w:rsidRPr="00524DEC" w:rsidRDefault="00524DEC" w:rsidP="00524DEC">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Account_Tenure</w:t>
      </w:r>
      <w:proofErr w:type="spellEnd"/>
      <w:r w:rsidRPr="00524DEC">
        <w:rPr>
          <w:rFonts w:ascii="Times New Roman" w:eastAsia="Times New Roman" w:hAnsi="Times New Roman" w:cs="Times New Roman"/>
          <w:sz w:val="24"/>
          <w:szCs w:val="24"/>
          <w:lang w:val="en-IN" w:eastAsia="en-IN"/>
        </w:rPr>
        <w:t>: Short tenures (</w:t>
      </w:r>
    </w:p>
    <w:p w14:paraId="42D602DA" w14:textId="77777777" w:rsidR="004355EF" w:rsidRDefault="004355EF" w:rsidP="3378EA2B">
      <w:pPr>
        <w:pStyle w:val="Heading1"/>
        <w:rPr>
          <w:rFonts w:ascii="Arial" w:eastAsia="Arial" w:hAnsi="Arial" w:cs="Arial"/>
          <w:color w:val="auto"/>
        </w:rPr>
      </w:pPr>
    </w:p>
    <w:p w14:paraId="5D0B4087" w14:textId="77777777" w:rsidR="00524DEC" w:rsidRPr="00524DEC" w:rsidRDefault="00524DEC" w:rsidP="00524DEC">
      <w:p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Top Predictive Variables for Delinquency</w:t>
      </w:r>
    </w:p>
    <w:p w14:paraId="13B76D03" w14:textId="77777777" w:rsidR="00524DEC" w:rsidRPr="00524DEC" w:rsidRDefault="00524DEC" w:rsidP="00524DE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Missed_Payments</w:t>
      </w:r>
      <w:proofErr w:type="spellEnd"/>
      <w:r w:rsidRPr="00524DEC">
        <w:rPr>
          <w:rFonts w:ascii="Times New Roman" w:eastAsia="Times New Roman" w:hAnsi="Times New Roman" w:cs="Times New Roman"/>
          <w:sz w:val="24"/>
          <w:szCs w:val="24"/>
          <w:lang w:val="en-IN" w:eastAsia="en-IN"/>
        </w:rPr>
        <w:t xml:space="preserve"> – Strong indicator of payment </w:t>
      </w:r>
      <w:proofErr w:type="spellStart"/>
      <w:r w:rsidRPr="00524DEC">
        <w:rPr>
          <w:rFonts w:ascii="Times New Roman" w:eastAsia="Times New Roman" w:hAnsi="Times New Roman" w:cs="Times New Roman"/>
          <w:sz w:val="24"/>
          <w:szCs w:val="24"/>
          <w:lang w:val="en-IN" w:eastAsia="en-IN"/>
        </w:rPr>
        <w:t>behavior</w:t>
      </w:r>
      <w:proofErr w:type="spellEnd"/>
      <w:r w:rsidRPr="00524DEC">
        <w:rPr>
          <w:rFonts w:ascii="Times New Roman" w:eastAsia="Times New Roman" w:hAnsi="Times New Roman" w:cs="Times New Roman"/>
          <w:sz w:val="24"/>
          <w:szCs w:val="24"/>
          <w:lang w:val="en-IN" w:eastAsia="en-IN"/>
        </w:rPr>
        <w:t xml:space="preserve"> and credit discipline.</w:t>
      </w:r>
    </w:p>
    <w:p w14:paraId="7EDDCA21" w14:textId="77777777" w:rsidR="00524DEC" w:rsidRPr="00524DEC" w:rsidRDefault="00524DEC" w:rsidP="00524DE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Credit_Utilization</w:t>
      </w:r>
      <w:proofErr w:type="spellEnd"/>
      <w:r w:rsidRPr="00524DEC">
        <w:rPr>
          <w:rFonts w:ascii="Times New Roman" w:eastAsia="Times New Roman" w:hAnsi="Times New Roman" w:cs="Times New Roman"/>
          <w:sz w:val="24"/>
          <w:szCs w:val="24"/>
          <w:lang w:val="en-IN" w:eastAsia="en-IN"/>
        </w:rPr>
        <w:t xml:space="preserve"> – High utilization rates are often linked to higher default risk.</w:t>
      </w:r>
    </w:p>
    <w:p w14:paraId="1DA03D1D" w14:textId="77777777" w:rsidR="00524DEC" w:rsidRPr="00524DEC" w:rsidRDefault="00524DEC" w:rsidP="00524DEC">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524DEC">
        <w:rPr>
          <w:rFonts w:ascii="Times New Roman" w:eastAsia="Times New Roman" w:hAnsi="Times New Roman" w:cs="Times New Roman"/>
          <w:b/>
          <w:bCs/>
          <w:sz w:val="24"/>
          <w:szCs w:val="24"/>
          <w:lang w:val="en-IN" w:eastAsia="en-IN"/>
        </w:rPr>
        <w:t>Delinquent_Account</w:t>
      </w:r>
      <w:proofErr w:type="spellEnd"/>
      <w:r w:rsidRPr="00524DEC">
        <w:rPr>
          <w:rFonts w:ascii="Times New Roman" w:eastAsia="Times New Roman" w:hAnsi="Times New Roman" w:cs="Times New Roman"/>
          <w:sz w:val="24"/>
          <w:szCs w:val="24"/>
          <w:lang w:val="en-IN" w:eastAsia="en-IN"/>
        </w:rPr>
        <w:t xml:space="preserve"> – Whether the customer has defaulted in the past is a leading signal for future delinquency.</w:t>
      </w:r>
    </w:p>
    <w:p w14:paraId="0C2CB746" w14:textId="77777777" w:rsidR="00524DEC" w:rsidRDefault="00524DEC" w:rsidP="3378EA2B">
      <w:pPr>
        <w:rPr>
          <w:rFonts w:ascii="Arial" w:eastAsia="Arial" w:hAnsi="Arial" w:cs="Arial"/>
        </w:rPr>
      </w:pPr>
    </w:p>
    <w:p w14:paraId="1E843A8E" w14:textId="77777777" w:rsidR="00524DEC" w:rsidRDefault="00524DEC" w:rsidP="00524DEC">
      <w:pPr>
        <w:rPr>
          <w:rFonts w:ascii="Arial" w:eastAsia="Arial" w:hAnsi="Arial" w:cs="Arial"/>
        </w:rPr>
      </w:pPr>
      <w:r>
        <w:rPr>
          <w:rFonts w:ascii="Arial" w:eastAsia="Arial" w:hAnsi="Arial" w:cs="Arial"/>
        </w:rPr>
        <w:t xml:space="preserve">- Unexpected anomalies: </w:t>
      </w:r>
    </w:p>
    <w:p w14:paraId="11830386" w14:textId="51C7245D" w:rsidR="00524DEC" w:rsidRPr="00524DEC" w:rsidRDefault="00524DEC" w:rsidP="00524DEC">
      <w:pPr>
        <w:rPr>
          <w:rFonts w:ascii="Times New Roman" w:eastAsia="Times New Roman" w:hAnsi="Times New Roman" w:cs="Times New Roman"/>
          <w:sz w:val="24"/>
          <w:szCs w:val="24"/>
          <w:lang w:val="en-IN" w:eastAsia="en-IN"/>
        </w:rPr>
      </w:pPr>
      <w:proofErr w:type="gramStart"/>
      <w:r w:rsidRPr="00524DEC">
        <w:rPr>
          <w:rFonts w:ascii="Times New Roman" w:eastAsia="Times New Roman" w:hAnsi="Symbol" w:cs="Times New Roman"/>
          <w:sz w:val="24"/>
          <w:szCs w:val="24"/>
          <w:lang w:val="en-IN" w:eastAsia="en-IN"/>
        </w:rPr>
        <w:t></w:t>
      </w:r>
      <w:r w:rsidRPr="00524DEC">
        <w:rPr>
          <w:rFonts w:ascii="Times New Roman" w:eastAsia="Times New Roman" w:hAnsi="Times New Roman" w:cs="Times New Roman"/>
          <w:sz w:val="24"/>
          <w:szCs w:val="24"/>
          <w:lang w:val="en-IN" w:eastAsia="en-IN"/>
        </w:rPr>
        <w:t xml:space="preserve">  Some</w:t>
      </w:r>
      <w:proofErr w:type="gramEnd"/>
      <w:r w:rsidRPr="00524DEC">
        <w:rPr>
          <w:rFonts w:ascii="Times New Roman" w:eastAsia="Times New Roman" w:hAnsi="Times New Roman" w:cs="Times New Roman"/>
          <w:sz w:val="24"/>
          <w:szCs w:val="24"/>
          <w:lang w:val="en-IN" w:eastAsia="en-IN"/>
        </w:rPr>
        <w:t xml:space="preserve"> customers have </w:t>
      </w:r>
      <w:r w:rsidRPr="00524DEC">
        <w:rPr>
          <w:rFonts w:ascii="Times New Roman" w:eastAsia="Times New Roman" w:hAnsi="Times New Roman" w:cs="Times New Roman"/>
          <w:b/>
          <w:bCs/>
          <w:sz w:val="24"/>
          <w:szCs w:val="24"/>
          <w:lang w:val="en-IN" w:eastAsia="en-IN"/>
        </w:rPr>
        <w:t>zero account tenure</w:t>
      </w:r>
      <w:r w:rsidRPr="00524DEC">
        <w:rPr>
          <w:rFonts w:ascii="Times New Roman" w:eastAsia="Times New Roman" w:hAnsi="Times New Roman" w:cs="Times New Roman"/>
          <w:sz w:val="24"/>
          <w:szCs w:val="24"/>
          <w:lang w:val="en-IN" w:eastAsia="en-IN"/>
        </w:rPr>
        <w:t xml:space="preserve"> or appear to hold </w:t>
      </w:r>
      <w:r w:rsidRPr="00524DEC">
        <w:rPr>
          <w:rFonts w:ascii="Times New Roman" w:eastAsia="Times New Roman" w:hAnsi="Times New Roman" w:cs="Times New Roman"/>
          <w:b/>
          <w:bCs/>
          <w:sz w:val="24"/>
          <w:szCs w:val="24"/>
          <w:lang w:val="en-IN" w:eastAsia="en-IN"/>
        </w:rPr>
        <w:t>multiple credit cards categorized as “Student” or “Business”</w:t>
      </w:r>
      <w:r w:rsidRPr="00524DEC">
        <w:rPr>
          <w:rFonts w:ascii="Times New Roman" w:eastAsia="Times New Roman" w:hAnsi="Times New Roman" w:cs="Times New Roman"/>
          <w:sz w:val="24"/>
          <w:szCs w:val="24"/>
          <w:lang w:val="en-IN" w:eastAsia="en-IN"/>
        </w:rPr>
        <w:t xml:space="preserve"> inconsistently.</w:t>
      </w:r>
    </w:p>
    <w:p w14:paraId="6A2AEF56" w14:textId="77777777" w:rsidR="00524DEC" w:rsidRPr="00524DEC" w:rsidRDefault="00524DEC" w:rsidP="00524DEC">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b/>
          <w:bCs/>
          <w:sz w:val="24"/>
          <w:szCs w:val="24"/>
          <w:lang w:val="en-IN" w:eastAsia="en-IN"/>
        </w:rPr>
        <w:t>Repeated late or missed payments</w:t>
      </w:r>
      <w:r w:rsidRPr="00524DEC">
        <w:rPr>
          <w:rFonts w:ascii="Times New Roman" w:eastAsia="Times New Roman" w:hAnsi="Times New Roman" w:cs="Times New Roman"/>
          <w:sz w:val="24"/>
          <w:szCs w:val="24"/>
          <w:lang w:val="en-IN" w:eastAsia="en-IN"/>
        </w:rPr>
        <w:t xml:space="preserve"> in the last 6 months are present even among customers with high income or high credit scores, suggesting unexpected </w:t>
      </w:r>
      <w:proofErr w:type="spellStart"/>
      <w:r w:rsidRPr="00524DEC">
        <w:rPr>
          <w:rFonts w:ascii="Times New Roman" w:eastAsia="Times New Roman" w:hAnsi="Times New Roman" w:cs="Times New Roman"/>
          <w:sz w:val="24"/>
          <w:szCs w:val="24"/>
          <w:lang w:val="en-IN" w:eastAsia="en-IN"/>
        </w:rPr>
        <w:t>behavioral</w:t>
      </w:r>
      <w:proofErr w:type="spellEnd"/>
      <w:r w:rsidRPr="00524DEC">
        <w:rPr>
          <w:rFonts w:ascii="Times New Roman" w:eastAsia="Times New Roman" w:hAnsi="Times New Roman" w:cs="Times New Roman"/>
          <w:sz w:val="24"/>
          <w:szCs w:val="24"/>
          <w:lang w:val="en-IN" w:eastAsia="en-IN"/>
        </w:rPr>
        <w:t xml:space="preserve"> variance.</w:t>
      </w:r>
    </w:p>
    <w:p w14:paraId="62F06E2A" w14:textId="1C7AFFC0" w:rsidR="004355EF" w:rsidRDefault="004355EF" w:rsidP="3378EA2B">
      <w:pPr>
        <w:rPr>
          <w:rFonts w:ascii="Arial" w:eastAsia="Arial" w:hAnsi="Arial" w:cs="Arial"/>
        </w:rPr>
      </w:pPr>
    </w:p>
    <w:p w14:paraId="723692B8" w14:textId="0672B253" w:rsidR="004355EF" w:rsidRDefault="3378EA2B" w:rsidP="00524DEC">
      <w:pPr>
        <w:pStyle w:val="Heading1"/>
        <w:numPr>
          <w:ilvl w:val="0"/>
          <w:numId w:val="18"/>
        </w:numPr>
        <w:rPr>
          <w:rFonts w:ascii="Arial" w:eastAsia="Arial" w:hAnsi="Arial" w:cs="Arial"/>
          <w:color w:val="auto"/>
        </w:rPr>
      </w:pPr>
      <w:r w:rsidRPr="3378EA2B">
        <w:rPr>
          <w:rFonts w:ascii="Arial" w:eastAsia="Arial" w:hAnsi="Arial" w:cs="Arial"/>
          <w:color w:val="auto"/>
        </w:rPr>
        <w:t xml:space="preserve">AI &amp; </w:t>
      </w:r>
      <w:proofErr w:type="spellStart"/>
      <w:r w:rsidRPr="3378EA2B">
        <w:rPr>
          <w:rFonts w:ascii="Arial" w:eastAsia="Arial" w:hAnsi="Arial" w:cs="Arial"/>
          <w:color w:val="auto"/>
        </w:rPr>
        <w:t>GenAI</w:t>
      </w:r>
      <w:proofErr w:type="spellEnd"/>
      <w:r w:rsidRPr="3378EA2B">
        <w:rPr>
          <w:rFonts w:ascii="Arial" w:eastAsia="Arial" w:hAnsi="Arial" w:cs="Arial"/>
          <w:color w:val="auto"/>
        </w:rPr>
        <w:t xml:space="preserve"> Usage</w:t>
      </w:r>
    </w:p>
    <w:p w14:paraId="727F020E" w14:textId="77777777" w:rsidR="00524DEC" w:rsidRPr="00524DEC" w:rsidRDefault="00524DEC" w:rsidP="00524DEC">
      <w:pPr>
        <w:spacing w:after="0" w:line="240" w:lineRule="auto"/>
        <w:ind w:left="720"/>
        <w:rPr>
          <w:rFonts w:ascii="Times New Roman" w:eastAsia="Times New Roman" w:hAnsi="Times New Roman" w:cs="Times New Roman"/>
          <w:sz w:val="24"/>
          <w:szCs w:val="24"/>
          <w:lang w:val="en-IN" w:eastAsia="en-IN"/>
        </w:rPr>
      </w:pPr>
      <w:proofErr w:type="gramStart"/>
      <w:r w:rsidRPr="00524DEC">
        <w:rPr>
          <w:rFonts w:ascii="Times New Roman" w:eastAsia="Times New Roman" w:hAnsi="Symbol" w:cs="Times New Roman"/>
          <w:sz w:val="24"/>
          <w:szCs w:val="24"/>
          <w:lang w:val="en-IN" w:eastAsia="en-IN"/>
        </w:rPr>
        <w:t></w:t>
      </w:r>
      <w:r w:rsidRPr="00524DEC">
        <w:rPr>
          <w:rFonts w:ascii="Times New Roman" w:eastAsia="Times New Roman" w:hAnsi="Times New Roman" w:cs="Times New Roman"/>
          <w:sz w:val="24"/>
          <w:szCs w:val="24"/>
          <w:lang w:val="en-IN" w:eastAsia="en-IN"/>
        </w:rPr>
        <w:t xml:space="preserve">  Leveraged</w:t>
      </w:r>
      <w:proofErr w:type="gramEnd"/>
      <w:r w:rsidRPr="00524DEC">
        <w:rPr>
          <w:rFonts w:ascii="Times New Roman" w:eastAsia="Times New Roman" w:hAnsi="Times New Roman" w:cs="Times New Roman"/>
          <w:sz w:val="24"/>
          <w:szCs w:val="24"/>
          <w:lang w:val="en-IN" w:eastAsia="en-IN"/>
        </w:rPr>
        <w:t xml:space="preserve"> a </w:t>
      </w:r>
      <w:proofErr w:type="spellStart"/>
      <w:r w:rsidRPr="00524DEC">
        <w:rPr>
          <w:rFonts w:ascii="Times New Roman" w:eastAsia="Times New Roman" w:hAnsi="Times New Roman" w:cs="Times New Roman"/>
          <w:sz w:val="24"/>
          <w:szCs w:val="24"/>
          <w:lang w:val="en-IN" w:eastAsia="en-IN"/>
        </w:rPr>
        <w:t>GenAI</w:t>
      </w:r>
      <w:proofErr w:type="spellEnd"/>
      <w:r w:rsidRPr="00524DEC">
        <w:rPr>
          <w:rFonts w:ascii="Times New Roman" w:eastAsia="Times New Roman" w:hAnsi="Times New Roman" w:cs="Times New Roman"/>
          <w:sz w:val="24"/>
          <w:szCs w:val="24"/>
          <w:lang w:val="en-IN" w:eastAsia="en-IN"/>
        </w:rPr>
        <w:t xml:space="preserve"> assistant (e.g., </w:t>
      </w:r>
      <w:proofErr w:type="spellStart"/>
      <w:r w:rsidRPr="00524DEC">
        <w:rPr>
          <w:rFonts w:ascii="Times New Roman" w:eastAsia="Times New Roman" w:hAnsi="Times New Roman" w:cs="Times New Roman"/>
          <w:sz w:val="24"/>
          <w:szCs w:val="24"/>
          <w:lang w:val="en-IN" w:eastAsia="en-IN"/>
        </w:rPr>
        <w:t>ChatGPT</w:t>
      </w:r>
      <w:proofErr w:type="spellEnd"/>
      <w:r w:rsidRPr="00524DEC">
        <w:rPr>
          <w:rFonts w:ascii="Times New Roman" w:eastAsia="Times New Roman" w:hAnsi="Times New Roman" w:cs="Times New Roman"/>
          <w:sz w:val="24"/>
          <w:szCs w:val="24"/>
          <w:lang w:val="en-IN" w:eastAsia="en-IN"/>
        </w:rPr>
        <w:t>) to auto-summarize dataset structure, flag anomalies, and detect missing-value hotspots.</w:t>
      </w:r>
    </w:p>
    <w:p w14:paraId="0D7ECB46" w14:textId="77777777" w:rsidR="00524DEC" w:rsidRPr="00524DEC" w:rsidRDefault="00524DEC" w:rsidP="00524DE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Used AI-driven prompt engineering to identify top predictive features and suggest correlation checks.</w:t>
      </w:r>
    </w:p>
    <w:p w14:paraId="5448FD64" w14:textId="77777777" w:rsidR="00524DEC" w:rsidRPr="00524DEC" w:rsidRDefault="00524DEC" w:rsidP="00524DE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 xml:space="preserve">Consulted </w:t>
      </w:r>
      <w:proofErr w:type="spellStart"/>
      <w:r w:rsidRPr="00524DEC">
        <w:rPr>
          <w:rFonts w:ascii="Times New Roman" w:eastAsia="Times New Roman" w:hAnsi="Times New Roman" w:cs="Times New Roman"/>
          <w:sz w:val="24"/>
          <w:szCs w:val="24"/>
          <w:lang w:val="en-IN" w:eastAsia="en-IN"/>
        </w:rPr>
        <w:t>GenAI</w:t>
      </w:r>
      <w:proofErr w:type="spellEnd"/>
      <w:r w:rsidRPr="00524DEC">
        <w:rPr>
          <w:rFonts w:ascii="Times New Roman" w:eastAsia="Times New Roman" w:hAnsi="Times New Roman" w:cs="Times New Roman"/>
          <w:sz w:val="24"/>
          <w:szCs w:val="24"/>
          <w:lang w:val="en-IN" w:eastAsia="en-IN"/>
        </w:rPr>
        <w:t xml:space="preserve"> for best-practice imputation strategies (median fill, outlier capping) and category standardization.</w:t>
      </w:r>
    </w:p>
    <w:p w14:paraId="0F2DD1AE" w14:textId="77777777" w:rsidR="00524DEC" w:rsidRPr="00524DEC" w:rsidRDefault="00524DEC" w:rsidP="00524DEC">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Employed AI to generate sample synthetic income values and validate distributional assumptions.</w:t>
      </w:r>
    </w:p>
    <w:p w14:paraId="41AF8AF5" w14:textId="77777777" w:rsidR="00524DEC" w:rsidRPr="00524DEC" w:rsidRDefault="00524DEC" w:rsidP="00524DEC">
      <w:pPr>
        <w:pStyle w:val="ListParagraph"/>
      </w:pPr>
    </w:p>
    <w:p w14:paraId="1065B625" w14:textId="77777777" w:rsidR="004355EF" w:rsidRDefault="3378EA2B" w:rsidP="3378EA2B">
      <w:pPr>
        <w:pStyle w:val="Heading1"/>
        <w:rPr>
          <w:rFonts w:ascii="Arial" w:eastAsia="Arial" w:hAnsi="Arial" w:cs="Arial"/>
          <w:color w:val="auto"/>
        </w:rPr>
      </w:pPr>
      <w:r w:rsidRPr="3378EA2B">
        <w:rPr>
          <w:rFonts w:ascii="Arial" w:eastAsia="Arial" w:hAnsi="Arial" w:cs="Arial"/>
          <w:color w:val="auto"/>
        </w:rPr>
        <w:lastRenderedPageBreak/>
        <w:t>6. Conclusion &amp; Next Steps</w:t>
      </w:r>
    </w:p>
    <w:p w14:paraId="5B70C6D6" w14:textId="0A2EE629" w:rsidR="00524DEC" w:rsidRPr="00524DEC" w:rsidRDefault="00524DEC" w:rsidP="00524DEC">
      <w:p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Our review of 500 customer recor</w:t>
      </w:r>
      <w:r w:rsidR="00761C83">
        <w:rPr>
          <w:rFonts w:ascii="Times New Roman" w:eastAsia="Times New Roman" w:hAnsi="Times New Roman" w:cs="Times New Roman"/>
          <w:sz w:val="24"/>
          <w:szCs w:val="24"/>
          <w:lang w:val="en-IN" w:eastAsia="en-IN"/>
        </w:rPr>
        <w:t xml:space="preserve">ds uncovered minor </w:t>
      </w:r>
      <w:proofErr w:type="spellStart"/>
      <w:r w:rsidR="00761C83">
        <w:rPr>
          <w:rFonts w:ascii="Times New Roman" w:eastAsia="Times New Roman" w:hAnsi="Times New Roman" w:cs="Times New Roman"/>
          <w:sz w:val="24"/>
          <w:szCs w:val="24"/>
          <w:lang w:val="en-IN" w:eastAsia="en-IN"/>
        </w:rPr>
        <w:t>missingness</w:t>
      </w:r>
      <w:proofErr w:type="spellEnd"/>
      <w:r w:rsidR="00761C83">
        <w:rPr>
          <w:rFonts w:ascii="Times New Roman" w:eastAsia="Times New Roman" w:hAnsi="Times New Roman" w:cs="Times New Roman"/>
          <w:sz w:val="24"/>
          <w:szCs w:val="24"/>
          <w:lang w:val="en-IN" w:eastAsia="en-IN"/>
        </w:rPr>
        <w:t xml:space="preserve"> </w:t>
      </w:r>
      <w:r w:rsidR="00761C83" w:rsidRPr="00761C83">
        <w:rPr>
          <w:rFonts w:ascii="Times New Roman" w:eastAsia="Times New Roman" w:hAnsi="Times New Roman" w:cs="Times New Roman"/>
          <w:sz w:val="24"/>
          <w:szCs w:val="24"/>
          <w:lang w:val="en-IN" w:eastAsia="en-IN"/>
        </w:rPr>
        <w:t xml:space="preserve">(&lt;5%) in </w:t>
      </w:r>
      <w:proofErr w:type="spellStart"/>
      <w:r w:rsidR="00761C83" w:rsidRPr="00761C83">
        <w:rPr>
          <w:rFonts w:ascii="Times New Roman" w:eastAsia="Times New Roman" w:hAnsi="Times New Roman" w:cs="Times New Roman"/>
          <w:sz w:val="24"/>
          <w:szCs w:val="24"/>
          <w:lang w:val="en-IN" w:eastAsia="en-IN"/>
        </w:rPr>
        <w:t>Loan_Balance</w:t>
      </w:r>
      <w:proofErr w:type="spellEnd"/>
      <w:r w:rsidR="00761C83" w:rsidRPr="00761C83">
        <w:rPr>
          <w:rFonts w:ascii="Times New Roman" w:eastAsia="Times New Roman" w:hAnsi="Times New Roman" w:cs="Times New Roman"/>
          <w:sz w:val="24"/>
          <w:szCs w:val="24"/>
          <w:lang w:val="en-IN" w:eastAsia="en-IN"/>
        </w:rPr>
        <w:t>, DTI, and Utilization, all of which have been imputed with segment-aware medians and capped at realistic bounds. Key risk drivers—</w:t>
      </w:r>
      <w:proofErr w:type="spellStart"/>
      <w:r w:rsidR="00761C83" w:rsidRPr="00761C83">
        <w:rPr>
          <w:rFonts w:ascii="Times New Roman" w:eastAsia="Times New Roman" w:hAnsi="Times New Roman" w:cs="Times New Roman"/>
          <w:sz w:val="24"/>
          <w:szCs w:val="24"/>
          <w:lang w:val="en-IN" w:eastAsia="en-IN"/>
        </w:rPr>
        <w:t>Missed_Payments</w:t>
      </w:r>
      <w:proofErr w:type="spellEnd"/>
      <w:r w:rsidR="00761C83" w:rsidRPr="00761C83">
        <w:rPr>
          <w:rFonts w:ascii="Times New Roman" w:eastAsia="Times New Roman" w:hAnsi="Times New Roman" w:cs="Times New Roman"/>
          <w:sz w:val="24"/>
          <w:szCs w:val="24"/>
          <w:lang w:val="en-IN" w:eastAsia="en-IN"/>
        </w:rPr>
        <w:t xml:space="preserve">, high </w:t>
      </w:r>
      <w:proofErr w:type="spellStart"/>
      <w:r w:rsidR="00761C83" w:rsidRPr="00761C83">
        <w:rPr>
          <w:rFonts w:ascii="Times New Roman" w:eastAsia="Times New Roman" w:hAnsi="Times New Roman" w:cs="Times New Roman"/>
          <w:sz w:val="24"/>
          <w:szCs w:val="24"/>
          <w:lang w:val="en-IN" w:eastAsia="en-IN"/>
        </w:rPr>
        <w:t>Credit_Utilization</w:t>
      </w:r>
      <w:proofErr w:type="spellEnd"/>
      <w:r w:rsidR="00761C83" w:rsidRPr="00761C83">
        <w:rPr>
          <w:rFonts w:ascii="Times New Roman" w:eastAsia="Times New Roman" w:hAnsi="Times New Roman" w:cs="Times New Roman"/>
          <w:sz w:val="24"/>
          <w:szCs w:val="24"/>
          <w:lang w:val="en-IN" w:eastAsia="en-IN"/>
        </w:rPr>
        <w:t xml:space="preserve">, elevated </w:t>
      </w:r>
      <w:proofErr w:type="spellStart"/>
      <w:r w:rsidR="00761C83" w:rsidRPr="00761C83">
        <w:rPr>
          <w:rFonts w:ascii="Times New Roman" w:eastAsia="Times New Roman" w:hAnsi="Times New Roman" w:cs="Times New Roman"/>
          <w:sz w:val="24"/>
          <w:szCs w:val="24"/>
          <w:lang w:val="en-IN" w:eastAsia="en-IN"/>
        </w:rPr>
        <w:t>Debt_to_Income_Ratio</w:t>
      </w:r>
      <w:proofErr w:type="spellEnd"/>
      <w:r w:rsidR="00761C83" w:rsidRPr="00761C83">
        <w:rPr>
          <w:rFonts w:ascii="Times New Roman" w:eastAsia="Times New Roman" w:hAnsi="Times New Roman" w:cs="Times New Roman"/>
          <w:sz w:val="24"/>
          <w:szCs w:val="24"/>
          <w:lang w:val="en-IN" w:eastAsia="en-IN"/>
        </w:rPr>
        <w:t xml:space="preserve">, and prior </w:t>
      </w:r>
      <w:proofErr w:type="spellStart"/>
      <w:r w:rsidR="00761C83" w:rsidRPr="00761C83">
        <w:rPr>
          <w:rFonts w:ascii="Times New Roman" w:eastAsia="Times New Roman" w:hAnsi="Times New Roman" w:cs="Times New Roman"/>
          <w:sz w:val="24"/>
          <w:szCs w:val="24"/>
          <w:lang w:val="en-IN" w:eastAsia="en-IN"/>
        </w:rPr>
        <w:t>Delinquent_Account</w:t>
      </w:r>
      <w:proofErr w:type="spellEnd"/>
      <w:r w:rsidR="00761C83" w:rsidRPr="00761C83">
        <w:rPr>
          <w:rFonts w:ascii="Times New Roman" w:eastAsia="Times New Roman" w:hAnsi="Times New Roman" w:cs="Times New Roman"/>
          <w:sz w:val="24"/>
          <w:szCs w:val="24"/>
          <w:lang w:val="en-IN" w:eastAsia="en-IN"/>
        </w:rPr>
        <w:t xml:space="preserve">—show strong correlations with future delinquency, while lower </w:t>
      </w:r>
      <w:proofErr w:type="spellStart"/>
      <w:r w:rsidR="00761C83" w:rsidRPr="00761C83">
        <w:rPr>
          <w:rFonts w:ascii="Times New Roman" w:eastAsia="Times New Roman" w:hAnsi="Times New Roman" w:cs="Times New Roman"/>
          <w:sz w:val="24"/>
          <w:szCs w:val="24"/>
          <w:lang w:val="en-IN" w:eastAsia="en-IN"/>
        </w:rPr>
        <w:t>Credit_Score</w:t>
      </w:r>
      <w:proofErr w:type="spellEnd"/>
      <w:r w:rsidR="00761C83" w:rsidRPr="00761C83">
        <w:rPr>
          <w:rFonts w:ascii="Times New Roman" w:eastAsia="Times New Roman" w:hAnsi="Times New Roman" w:cs="Times New Roman"/>
          <w:sz w:val="24"/>
          <w:szCs w:val="24"/>
          <w:lang w:val="en-IN" w:eastAsia="en-IN"/>
        </w:rPr>
        <w:t xml:space="preserve"> and Income also contribute modestly.</w:t>
      </w:r>
    </w:p>
    <w:p w14:paraId="1088E4F9" w14:textId="77777777" w:rsidR="00524DEC" w:rsidRPr="00524DEC" w:rsidRDefault="00524DEC" w:rsidP="00524DEC">
      <w:p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b/>
          <w:bCs/>
          <w:sz w:val="24"/>
          <w:szCs w:val="24"/>
          <w:lang w:val="en-IN" w:eastAsia="en-IN"/>
        </w:rPr>
        <w:t>Next Steps</w:t>
      </w:r>
      <w:bookmarkStart w:id="0" w:name="_GoBack"/>
      <w:bookmarkEnd w:id="0"/>
    </w:p>
    <w:p w14:paraId="6EC4E724" w14:textId="77777777" w:rsidR="00524DEC" w:rsidRPr="00524DEC" w:rsidRDefault="00524DEC" w:rsidP="00524DE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Feature Engineering</w:t>
      </w:r>
    </w:p>
    <w:p w14:paraId="12E4433F"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Create binary flags for extreme utilization (&gt;0.8) and DTI (&gt;0.5)</w:t>
      </w:r>
    </w:p>
    <w:p w14:paraId="59F48268"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 xml:space="preserve">One-hot encode standardized </w:t>
      </w:r>
      <w:proofErr w:type="spellStart"/>
      <w:r w:rsidRPr="00524DEC">
        <w:rPr>
          <w:rFonts w:ascii="Times New Roman" w:eastAsia="Times New Roman" w:hAnsi="Times New Roman" w:cs="Times New Roman"/>
          <w:sz w:val="24"/>
          <w:szCs w:val="24"/>
          <w:lang w:val="en-IN" w:eastAsia="en-IN"/>
        </w:rPr>
        <w:t>Employment_Status</w:t>
      </w:r>
      <w:proofErr w:type="spellEnd"/>
      <w:r w:rsidRPr="00524DEC">
        <w:rPr>
          <w:rFonts w:ascii="Times New Roman" w:eastAsia="Times New Roman" w:hAnsi="Times New Roman" w:cs="Times New Roman"/>
          <w:sz w:val="24"/>
          <w:szCs w:val="24"/>
          <w:lang w:val="en-IN" w:eastAsia="en-IN"/>
        </w:rPr>
        <w:t xml:space="preserve"> and </w:t>
      </w:r>
      <w:proofErr w:type="spellStart"/>
      <w:r w:rsidRPr="00524DEC">
        <w:rPr>
          <w:rFonts w:ascii="Times New Roman" w:eastAsia="Times New Roman" w:hAnsi="Times New Roman" w:cs="Times New Roman"/>
          <w:sz w:val="24"/>
          <w:szCs w:val="24"/>
          <w:lang w:val="en-IN" w:eastAsia="en-IN"/>
        </w:rPr>
        <w:t>Card_Type</w:t>
      </w:r>
      <w:proofErr w:type="spellEnd"/>
    </w:p>
    <w:p w14:paraId="143BA44E" w14:textId="77777777" w:rsidR="00524DEC" w:rsidRPr="00524DEC" w:rsidRDefault="00524DEC" w:rsidP="00524DE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Model Development</w:t>
      </w:r>
    </w:p>
    <w:p w14:paraId="4F1AF39D"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Train baseline classifiers (logistic regression, decision trees)</w:t>
      </w:r>
    </w:p>
    <w:p w14:paraId="5800BF7A"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 xml:space="preserve">Advance to ensemble methods (random forest, </w:t>
      </w:r>
      <w:proofErr w:type="spellStart"/>
      <w:r w:rsidRPr="00524DEC">
        <w:rPr>
          <w:rFonts w:ascii="Times New Roman" w:eastAsia="Times New Roman" w:hAnsi="Times New Roman" w:cs="Times New Roman"/>
          <w:sz w:val="24"/>
          <w:szCs w:val="24"/>
          <w:lang w:val="en-IN" w:eastAsia="en-IN"/>
        </w:rPr>
        <w:t>XGBoost</w:t>
      </w:r>
      <w:proofErr w:type="spellEnd"/>
      <w:r w:rsidRPr="00524DEC">
        <w:rPr>
          <w:rFonts w:ascii="Times New Roman" w:eastAsia="Times New Roman" w:hAnsi="Times New Roman" w:cs="Times New Roman"/>
          <w:sz w:val="24"/>
          <w:szCs w:val="24"/>
          <w:lang w:val="en-IN" w:eastAsia="en-IN"/>
        </w:rPr>
        <w:t>)</w:t>
      </w:r>
    </w:p>
    <w:p w14:paraId="2FBE854F" w14:textId="77777777" w:rsidR="00524DEC" w:rsidRPr="00524DEC" w:rsidRDefault="00524DEC" w:rsidP="00524DE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Validation &amp; Tuning</w:t>
      </w:r>
    </w:p>
    <w:p w14:paraId="3B0D074F"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Use stratified k-fold cross-validation</w:t>
      </w:r>
    </w:p>
    <w:p w14:paraId="7DDE32D8" w14:textId="77777777" w:rsidR="00524DEC" w:rsidRPr="00524DEC" w:rsidRDefault="00524DEC" w:rsidP="00524DEC">
      <w:pPr>
        <w:numPr>
          <w:ilvl w:val="1"/>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 xml:space="preserve">Optimize </w:t>
      </w:r>
      <w:proofErr w:type="spellStart"/>
      <w:r w:rsidRPr="00524DEC">
        <w:rPr>
          <w:rFonts w:ascii="Times New Roman" w:eastAsia="Times New Roman" w:hAnsi="Times New Roman" w:cs="Times New Roman"/>
          <w:sz w:val="24"/>
          <w:szCs w:val="24"/>
          <w:lang w:val="en-IN" w:eastAsia="en-IN"/>
        </w:rPr>
        <w:t>hyperparameters</w:t>
      </w:r>
      <w:proofErr w:type="spellEnd"/>
      <w:r w:rsidRPr="00524DEC">
        <w:rPr>
          <w:rFonts w:ascii="Times New Roman" w:eastAsia="Times New Roman" w:hAnsi="Times New Roman" w:cs="Times New Roman"/>
          <w:sz w:val="24"/>
          <w:szCs w:val="24"/>
          <w:lang w:val="en-IN" w:eastAsia="en-IN"/>
        </w:rPr>
        <w:t xml:space="preserve"> for precision-recall trade-off</w:t>
      </w:r>
    </w:p>
    <w:p w14:paraId="50517DCE" w14:textId="77777777" w:rsidR="00524DEC" w:rsidRPr="00524DEC" w:rsidRDefault="00524DEC" w:rsidP="00524DEC">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Deployment &amp; Monitoring</w:t>
      </w:r>
    </w:p>
    <w:p w14:paraId="6154330E" w14:textId="77777777" w:rsidR="00524DEC" w:rsidRPr="00524DEC" w:rsidRDefault="00524DEC" w:rsidP="00524DE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Establish model monitoring for data drift</w:t>
      </w:r>
    </w:p>
    <w:p w14:paraId="76379D83" w14:textId="77777777" w:rsidR="00524DEC" w:rsidRPr="00524DEC" w:rsidRDefault="00524DEC" w:rsidP="00524DEC">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24DEC">
        <w:rPr>
          <w:rFonts w:ascii="Times New Roman" w:eastAsia="Times New Roman" w:hAnsi="Times New Roman" w:cs="Times New Roman"/>
          <w:sz w:val="24"/>
          <w:szCs w:val="24"/>
          <w:lang w:val="en-IN" w:eastAsia="en-IN"/>
        </w:rPr>
        <w:t>Schedule periodic retraining with new data batches</w:t>
      </w:r>
    </w:p>
    <w:p w14:paraId="4D5E0059" w14:textId="0C7C660A" w:rsidR="3378EA2B" w:rsidRDefault="3378EA2B" w:rsidP="3378EA2B">
      <w:pPr>
        <w:rPr>
          <w:rFonts w:ascii="Arial" w:eastAsia="Arial" w:hAnsi="Arial" w:cs="Arial"/>
        </w:rPr>
      </w:pPr>
    </w:p>
    <w:p w14:paraId="473B3221" w14:textId="2B43D768" w:rsidR="3378EA2B" w:rsidRDefault="3378EA2B" w:rsidP="3378EA2B">
      <w:pPr>
        <w:rPr>
          <w:rFonts w:ascii="Arial" w:eastAsia="Arial" w:hAnsi="Arial" w:cs="Arial"/>
        </w:rPr>
      </w:pPr>
    </w:p>
    <w:sectPr w:rsidR="3378EA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A247E87"/>
    <w:multiLevelType w:val="hybridMultilevel"/>
    <w:tmpl w:val="8B468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B4E3FB0"/>
    <w:multiLevelType w:val="multilevel"/>
    <w:tmpl w:val="08422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5427C9"/>
    <w:multiLevelType w:val="multilevel"/>
    <w:tmpl w:val="E888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0E41B7"/>
    <w:multiLevelType w:val="multilevel"/>
    <w:tmpl w:val="7524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DE4742"/>
    <w:multiLevelType w:val="multilevel"/>
    <w:tmpl w:val="E09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C00CFD"/>
    <w:multiLevelType w:val="multilevel"/>
    <w:tmpl w:val="08FC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7791A"/>
    <w:multiLevelType w:val="multilevel"/>
    <w:tmpl w:val="34F2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49907098"/>
    <w:multiLevelType w:val="multilevel"/>
    <w:tmpl w:val="B480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1B4C71"/>
    <w:multiLevelType w:val="multilevel"/>
    <w:tmpl w:val="8752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D20E66"/>
    <w:multiLevelType w:val="multilevel"/>
    <w:tmpl w:val="11401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010835"/>
    <w:multiLevelType w:val="multilevel"/>
    <w:tmpl w:val="275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636D3D"/>
    <w:multiLevelType w:val="multilevel"/>
    <w:tmpl w:val="1366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29317C"/>
    <w:multiLevelType w:val="multilevel"/>
    <w:tmpl w:val="4AAA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9"/>
  </w:num>
  <w:num w:numId="12">
    <w:abstractNumId w:val="15"/>
    <w:lvlOverride w:ilvl="0"/>
    <w:lvlOverride w:ilvl="1"/>
    <w:lvlOverride w:ilvl="2"/>
    <w:lvlOverride w:ilvl="3"/>
    <w:lvlOverride w:ilvl="4"/>
    <w:lvlOverride w:ilvl="5"/>
    <w:lvlOverride w:ilvl="6"/>
    <w:lvlOverride w:ilvl="7"/>
    <w:lvlOverride w:ilvl="8"/>
  </w:num>
  <w:num w:numId="13">
    <w:abstractNumId w:val="11"/>
  </w:num>
  <w:num w:numId="14">
    <w:abstractNumId w:val="14"/>
  </w:num>
  <w:num w:numId="15">
    <w:abstractNumId w:val="20"/>
  </w:num>
  <w:num w:numId="16">
    <w:abstractNumId w:val="12"/>
  </w:num>
  <w:num w:numId="17">
    <w:abstractNumId w:val="17"/>
  </w:num>
  <w:num w:numId="18">
    <w:abstractNumId w:val="18"/>
  </w:num>
  <w:num w:numId="19">
    <w:abstractNumId w:val="21"/>
  </w:num>
  <w:num w:numId="20">
    <w:abstractNumId w:val="13"/>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355EF"/>
    <w:rsid w:val="00524DEC"/>
    <w:rsid w:val="0070160E"/>
    <w:rsid w:val="00761C83"/>
    <w:rsid w:val="0096569E"/>
    <w:rsid w:val="00AA1D8D"/>
    <w:rsid w:val="00B47730"/>
    <w:rsid w:val="00C46DBC"/>
    <w:rsid w:val="00CB0664"/>
    <w:rsid w:val="00F90F88"/>
    <w:rsid w:val="00FC693F"/>
    <w:rsid w:val="3378E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DDB7976-8890-4F3F-A184-4899E10C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90F8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74694">
      <w:bodyDiv w:val="1"/>
      <w:marLeft w:val="0"/>
      <w:marRight w:val="0"/>
      <w:marTop w:val="0"/>
      <w:marBottom w:val="0"/>
      <w:divBdr>
        <w:top w:val="none" w:sz="0" w:space="0" w:color="auto"/>
        <w:left w:val="none" w:sz="0" w:space="0" w:color="auto"/>
        <w:bottom w:val="none" w:sz="0" w:space="0" w:color="auto"/>
        <w:right w:val="none" w:sz="0" w:space="0" w:color="auto"/>
      </w:divBdr>
    </w:div>
    <w:div w:id="551774531">
      <w:bodyDiv w:val="1"/>
      <w:marLeft w:val="0"/>
      <w:marRight w:val="0"/>
      <w:marTop w:val="0"/>
      <w:marBottom w:val="0"/>
      <w:divBdr>
        <w:top w:val="none" w:sz="0" w:space="0" w:color="auto"/>
        <w:left w:val="none" w:sz="0" w:space="0" w:color="auto"/>
        <w:bottom w:val="none" w:sz="0" w:space="0" w:color="auto"/>
        <w:right w:val="none" w:sz="0" w:space="0" w:color="auto"/>
      </w:divBdr>
    </w:div>
    <w:div w:id="602422826">
      <w:bodyDiv w:val="1"/>
      <w:marLeft w:val="0"/>
      <w:marRight w:val="0"/>
      <w:marTop w:val="0"/>
      <w:marBottom w:val="0"/>
      <w:divBdr>
        <w:top w:val="none" w:sz="0" w:space="0" w:color="auto"/>
        <w:left w:val="none" w:sz="0" w:space="0" w:color="auto"/>
        <w:bottom w:val="none" w:sz="0" w:space="0" w:color="auto"/>
        <w:right w:val="none" w:sz="0" w:space="0" w:color="auto"/>
      </w:divBdr>
    </w:div>
    <w:div w:id="782461142">
      <w:bodyDiv w:val="1"/>
      <w:marLeft w:val="0"/>
      <w:marRight w:val="0"/>
      <w:marTop w:val="0"/>
      <w:marBottom w:val="0"/>
      <w:divBdr>
        <w:top w:val="none" w:sz="0" w:space="0" w:color="auto"/>
        <w:left w:val="none" w:sz="0" w:space="0" w:color="auto"/>
        <w:bottom w:val="none" w:sz="0" w:space="0" w:color="auto"/>
        <w:right w:val="none" w:sz="0" w:space="0" w:color="auto"/>
      </w:divBdr>
    </w:div>
    <w:div w:id="1167599157">
      <w:bodyDiv w:val="1"/>
      <w:marLeft w:val="0"/>
      <w:marRight w:val="0"/>
      <w:marTop w:val="0"/>
      <w:marBottom w:val="0"/>
      <w:divBdr>
        <w:top w:val="none" w:sz="0" w:space="0" w:color="auto"/>
        <w:left w:val="none" w:sz="0" w:space="0" w:color="auto"/>
        <w:bottom w:val="none" w:sz="0" w:space="0" w:color="auto"/>
        <w:right w:val="none" w:sz="0" w:space="0" w:color="auto"/>
      </w:divBdr>
    </w:div>
    <w:div w:id="1276785497">
      <w:bodyDiv w:val="1"/>
      <w:marLeft w:val="0"/>
      <w:marRight w:val="0"/>
      <w:marTop w:val="0"/>
      <w:marBottom w:val="0"/>
      <w:divBdr>
        <w:top w:val="none" w:sz="0" w:space="0" w:color="auto"/>
        <w:left w:val="none" w:sz="0" w:space="0" w:color="auto"/>
        <w:bottom w:val="none" w:sz="0" w:space="0" w:color="auto"/>
        <w:right w:val="none" w:sz="0" w:space="0" w:color="auto"/>
      </w:divBdr>
    </w:div>
    <w:div w:id="1342505956">
      <w:bodyDiv w:val="1"/>
      <w:marLeft w:val="0"/>
      <w:marRight w:val="0"/>
      <w:marTop w:val="0"/>
      <w:marBottom w:val="0"/>
      <w:divBdr>
        <w:top w:val="none" w:sz="0" w:space="0" w:color="auto"/>
        <w:left w:val="none" w:sz="0" w:space="0" w:color="auto"/>
        <w:bottom w:val="none" w:sz="0" w:space="0" w:color="auto"/>
        <w:right w:val="none" w:sz="0" w:space="0" w:color="auto"/>
      </w:divBdr>
    </w:div>
    <w:div w:id="1457988408">
      <w:bodyDiv w:val="1"/>
      <w:marLeft w:val="0"/>
      <w:marRight w:val="0"/>
      <w:marTop w:val="0"/>
      <w:marBottom w:val="0"/>
      <w:divBdr>
        <w:top w:val="none" w:sz="0" w:space="0" w:color="auto"/>
        <w:left w:val="none" w:sz="0" w:space="0" w:color="auto"/>
        <w:bottom w:val="none" w:sz="0" w:space="0" w:color="auto"/>
        <w:right w:val="none" w:sz="0" w:space="0" w:color="auto"/>
      </w:divBdr>
    </w:div>
    <w:div w:id="1574968923">
      <w:bodyDiv w:val="1"/>
      <w:marLeft w:val="0"/>
      <w:marRight w:val="0"/>
      <w:marTop w:val="0"/>
      <w:marBottom w:val="0"/>
      <w:divBdr>
        <w:top w:val="none" w:sz="0" w:space="0" w:color="auto"/>
        <w:left w:val="none" w:sz="0" w:space="0" w:color="auto"/>
        <w:bottom w:val="none" w:sz="0" w:space="0" w:color="auto"/>
        <w:right w:val="none" w:sz="0" w:space="0" w:color="auto"/>
      </w:divBdr>
    </w:div>
    <w:div w:id="1953394047">
      <w:bodyDiv w:val="1"/>
      <w:marLeft w:val="0"/>
      <w:marRight w:val="0"/>
      <w:marTop w:val="0"/>
      <w:marBottom w:val="0"/>
      <w:divBdr>
        <w:top w:val="none" w:sz="0" w:space="0" w:color="auto"/>
        <w:left w:val="none" w:sz="0" w:space="0" w:color="auto"/>
        <w:bottom w:val="none" w:sz="0" w:space="0" w:color="auto"/>
        <w:right w:val="none" w:sz="0" w:space="0" w:color="auto"/>
      </w:divBdr>
    </w:div>
    <w:div w:id="2127388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28D31-4DB3-40C2-8F3F-D2CBD44B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2025-06-30T14:52:00Z</dcterms:created>
  <dcterms:modified xsi:type="dcterms:W3CDTF">2025-06-30T14:52:00Z</dcterms:modified>
  <cp:category/>
</cp:coreProperties>
</file>