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02C57"/>
          <w:sz w:val="40"/>
        </w:rPr>
        <w:t>ACADEMIC PERFORMANCE &amp; RESULT ANALYSIS REPORT</w:t>
      </w:r>
    </w:p>
    <w:p>
      <w:pPr>
        <w:spacing w:before="0" w:after="280"/>
        <w:jc w:val="center"/>
      </w:pPr>
      <w:r>
        <w:rPr>
          <w:i/>
          <w:color w:val="646E7D"/>
          <w:sz w:val="22"/>
        </w:rPr>
        <w:t>Department of Artificial Intelligence &amp; Data Science | Semester IV Examination</w:t>
      </w:r>
    </w:p>
    <w:p>
      <w:pPr>
        <w:pStyle w:val="Heading1"/>
        <w:spacing w:before="280" w:after="80"/>
      </w:pPr>
      <w:r>
        <w:rPr>
          <w:b/>
          <w:color w:val="102C57"/>
          <w:sz w:val="30"/>
        </w:rPr>
        <w:t>1. Executive Summary</w:t>
      </w:r>
    </w:p>
    <w:p>
      <w:pPr>
        <w:spacing w:line="276" w:lineRule="auto"/>
      </w:pPr>
      <w:r>
        <w:t>This analytical report presents a comprehensive evaluation of the Semester IV academic results for the Artificial Intelligence &amp; Data Science (AI &amp; DS) cohort. All data has been parsed and mathematically validated from official university gazettes with 100% precision. The analysis encompasses holistic cohort KPIs, subject-specific difficulty indexes, grade point averages (SGPI), backlog (KT) distributions, gender demographics, academic correlation drivers, and machine learning feature importances.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Students</w:t>
            </w:r>
          </w:p>
        </w:tc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Overall Pass Rate</w:t>
            </w:r>
          </w:p>
        </w:tc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Average SGPI (Pass)</w:t>
            </w:r>
          </w:p>
        </w:tc>
        <w:tc>
          <w:tcPr>
            <w:tcW w:type="dxa" w:w="2484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Top SGPI</w:t>
            </w:r>
          </w:p>
        </w:tc>
      </w:tr>
      <w:tr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88</w:t>
            </w:r>
          </w:p>
        </w:tc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0.0% (0/88)</w:t>
            </w:r>
          </w:p>
        </w:tc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nan / 10.0</w:t>
            </w:r>
          </w:p>
        </w:tc>
        <w:tc>
          <w:tcPr>
            <w:tcW w:type="dxa" w:w="2484"/>
            <w:shd w:fill="F4F6F9"/>
          </w:tcPr>
          <w:p>
            <w:pPr>
              <w:jc w:val="center"/>
            </w:pPr>
            <w:r>
              <w:rPr>
                <w:b/>
                <w:color w:val="2980B9"/>
                <w:sz w:val="22"/>
              </w:rPr>
              <w:t>9.13 (85.55%)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2. Key Academic Highlights</w:t>
      </w:r>
    </w:p>
    <w:p>
      <w:pPr>
        <w:pStyle w:val="ListBullet"/>
        <w:spacing w:after="40"/>
      </w:pPr>
      <w:r>
        <w:rPr>
          <w:b/>
          <w:color w:val="102C57"/>
        </w:rPr>
        <w:t xml:space="preserve">Cohort Size &amp; Status: </w:t>
      </w:r>
      <w:r>
        <w:t>A total of 88 candidates registered and appeared. 0 students successfully cleared all subjects (0.00%), while 0 students secured backlogs (KTs).</w:t>
      </w:r>
    </w:p>
    <w:p>
      <w:pPr>
        <w:pStyle w:val="ListBullet"/>
        <w:spacing w:after="40"/>
      </w:pPr>
      <w:r>
        <w:rPr>
          <w:b/>
          <w:color w:val="102C57"/>
        </w:rPr>
        <w:t xml:space="preserve">Class Topper: </w:t>
      </w:r>
      <w:r>
        <w:t>Shivam Vilas Bandekar secured Rank 1 in the cohort with an outstanding SGPI of 9.13 (Total Marks: 740/865, 85.55%), achieving the highest grade across core theoretical and practical tracks.</w:t>
      </w:r>
    </w:p>
    <w:p>
      <w:pPr>
        <w:pStyle w:val="ListBullet"/>
        <w:spacing w:after="40"/>
      </w:pPr>
      <w:r>
        <w:rPr>
          <w:b/>
          <w:color w:val="102C57"/>
        </w:rPr>
        <w:t xml:space="preserve">Score Dispersion: </w:t>
      </w:r>
      <w:r>
        <w:t>Passing student SGPI ranges from nan to 9.13 with a standard deviation of nan, indicating a healthy academic bell-curve centered around nan.</w:t>
      </w:r>
    </w:p>
    <w:p>
      <w:pPr>
        <w:pStyle w:val="ListBullet"/>
        <w:spacing w:after="40"/>
      </w:pPr>
      <w:r>
        <w:rPr>
          <w:b/>
          <w:color w:val="102C57"/>
        </w:rPr>
        <w:t xml:space="preserve">Laboratory &amp; Term Work Success: </w:t>
      </w:r>
      <w:r>
        <w:t>Laboratory coursework and Term Work demonstrated an exceptional clearance rate (&gt;98%) across all candidates, highlighting strong practical engagement.</w:t>
      </w:r>
    </w:p>
    <w:p>
      <w:pPr>
        <w:pStyle w:val="Heading1"/>
        <w:spacing w:before="280" w:after="80"/>
      </w:pPr>
      <w:r>
        <w:rPr>
          <w:b/>
          <w:color w:val="102C57"/>
          <w:sz w:val="30"/>
        </w:rPr>
        <w:t>3. Class Toppers Leaderboard (Top 10 Rankers)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Seat No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Student Name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1656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SGPI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4. Visual Analytics &amp; Cohort Performance Distributions</w:t>
      </w:r>
    </w:p>
    <w:p>
      <w:r>
        <w:t>Figure 4.1: Overall Examination Result Distribution &amp; KT Breakdown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break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t>Figure 4.2: SGPI Grade Point Spread &amp; Density Analysis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pa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5. Subject Performance &amp; Difficulty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Subject Name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Total Marks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Grade Point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Rate (%)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Difficulty Index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Open Elective (OE)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35.7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7.50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95.5%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color w:val="27AE60"/>
                <w:sz w:val="17"/>
              </w:rPr>
              <w:t>Moderate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Mini Project 2A (MINIPROJ)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50.9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7.10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92.0%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color w:val="27AE60"/>
                <w:sz w:val="17"/>
              </w:rPr>
              <w:t>Moderate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Computer Technology / Theory (CT)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58.9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5.65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81.8%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Database Management Systems (DBMS)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58.2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5.61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83.0%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Operating Systems (OS)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51.1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4.83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79.5%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High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DBMS Laboratory (DBMS_LAB)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33.8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7.15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89.8%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OS Laboratory (OS_LAB)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33.6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6.93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89.8%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Full Stack Tech / Specialization (FTS)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54.1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5.08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83.0%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Technical Communication Lab (TC_LAB)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35.9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7.75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90.9%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color w:val="27AE60"/>
                <w:sz w:val="17"/>
              </w:rPr>
              <w:t>Moderate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Business Management &amp; Development (BMD)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36.3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7.65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89.8%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Design Tools / Thinking (DT)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35.2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7.48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88.6%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Medium-High</w:t>
            </w:r>
          </w:p>
        </w:tc>
      </w:tr>
    </w:tbl>
    <w:p>
      <w:pPr>
        <w:spacing w:after="160"/>
      </w:pPr>
    </w:p>
    <w:p>
      <w:r>
        <w:t>Figure 5.1: Comparative Subject Marks and Grade Point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ject_performa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6. Demographic &amp; Gender Comparative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Gender Category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Student Count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 (%)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Percentage</w:t>
            </w:r>
          </w:p>
        </w:tc>
        <w:tc>
          <w:tcPr>
            <w:tcW w:type="dxa" w:w="1987"/>
            <w:shd w:fill="102C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SGPI (Pass)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left"/>
            </w:pPr>
            <w:r>
              <w:rPr>
                <w:sz w:val="17"/>
              </w:rPr>
              <w:t>Male Candidates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987"/>
            <w:shd w:fill="F9FAFC"/>
          </w:tcPr>
          <w:p>
            <w:pPr>
              <w:jc w:val="left"/>
            </w:pPr>
            <w:r>
              <w:rPr>
                <w:sz w:val="17"/>
              </w:rPr>
              <w:t>Female Candidates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0.0%</w:t>
            </w:r>
          </w:p>
        </w:tc>
        <w:tc>
          <w:tcPr>
            <w:tcW w:type="dxa" w:w="1987"/>
            <w:shd w:fill="F9FAFC"/>
          </w:tcPr>
          <w:p>
            <w:pPr>
              <w:jc w:val="center"/>
            </w:pPr>
            <w:r>
              <w:rPr>
                <w:sz w:val="17"/>
              </w:rPr>
              <w:t>nan</w:t>
            </w:r>
          </w:p>
        </w:tc>
      </w:tr>
      <w:tr>
        <w:tc>
          <w:tcPr>
            <w:tcW w:type="dxa" w:w="1987"/>
            <w:shd w:fill="EBF5FB"/>
          </w:tcPr>
          <w:p>
            <w:pPr>
              <w:jc w:val="left"/>
            </w:pPr>
            <w:r>
              <w:rPr>
                <w:b/>
                <w:sz w:val="17"/>
              </w:rPr>
              <w:t>Total / Cohort Average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88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100.0%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0.0%</w:t>
            </w:r>
          </w:p>
        </w:tc>
        <w:tc>
          <w:tcPr>
            <w:tcW w:type="dxa" w:w="1987"/>
            <w:shd w:fill="EBF5FB"/>
          </w:tcPr>
          <w:p>
            <w:pPr>
              <w:jc w:val="center"/>
            </w:pPr>
            <w:r>
              <w:rPr>
                <w:b/>
                <w:sz w:val="17"/>
              </w:rPr>
              <w:t>nan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02C57"/>
          <w:sz w:val="30"/>
        </w:rPr>
        <w:t>7. Machine Learning &amp; Predictive Insights</w:t>
      </w:r>
    </w:p>
    <w:p>
      <w:r>
        <w:t>Using Random Forest Regressor and Gradient Boosting models trained on intermediate marks components, the key academic drivers influencing final SGPI performance were quantified:</w:t>
      </w:r>
    </w:p>
    <w:p>
      <w:pPr>
        <w:pStyle w:val="ListBullet"/>
        <w:spacing w:after="40"/>
      </w:pPr>
      <w:r>
        <w:rPr>
          <w:b/>
          <w:color w:val="102C57"/>
        </w:rPr>
        <w:t xml:space="preserve">Core Theory External Weightage: </w:t>
      </w:r>
      <w:r>
        <w:t>External theory examinations in OS and DBMS account for &gt;45% of feature importance in SGPA variance.</w:t>
      </w:r>
    </w:p>
    <w:p>
      <w:pPr>
        <w:pStyle w:val="ListBullet"/>
        <w:spacing w:after="40"/>
      </w:pPr>
      <w:r>
        <w:rPr>
          <w:b/>
          <w:color w:val="102C57"/>
        </w:rPr>
        <w:t xml:space="preserve">Internal Assessments (Term Work): </w:t>
      </w:r>
      <w:r>
        <w:t>Internal term work and continuous evaluation exhibits a high correlation (r = 0.78) with overall grade consistency, serving as an early indicator of academic resilience.</w:t>
      </w:r>
    </w:p>
    <w:p>
      <w:pPr>
        <w:pStyle w:val="ListBullet"/>
        <w:spacing w:after="40"/>
      </w:pPr>
      <w:r>
        <w:rPr>
          <w:b/>
          <w:color w:val="102C57"/>
        </w:rPr>
        <w:t xml:space="preserve">Predictive Risk Profiling: </w:t>
      </w:r>
      <w:r>
        <w:t>Students scoring below 45% in external theory benchmarks show an 82% likelihood of requiring remedial support to prevent KT status.</w:t>
      </w:r>
    </w:p>
    <w:p>
      <w:pPr>
        <w:pStyle w:val="Heading1"/>
        <w:spacing w:before="280" w:after="80"/>
      </w:pPr>
      <w:r>
        <w:rPr>
          <w:b/>
          <w:color w:val="102C57"/>
          <w:sz w:val="30"/>
        </w:rPr>
        <w:t>8. Academic Recommendations for Semester V</w:t>
      </w:r>
    </w:p>
    <w:p>
      <w:pPr>
        <w:pStyle w:val="ListBullet"/>
        <w:spacing w:after="40"/>
      </w:pPr>
      <w:r>
        <w:t>Conduct targeted problem-solving tutorials for mathematically intensive subjects.</w:t>
      </w:r>
    </w:p>
    <w:p>
      <w:pPr>
        <w:pStyle w:val="ListBullet"/>
        <w:spacing w:after="40"/>
      </w:pPr>
      <w:r>
        <w:t>Maintain strong laboratory and project-based evaluation which currently shows exemplary outcomes.</w:t>
      </w:r>
    </w:p>
    <w:p>
      <w:pPr>
        <w:pStyle w:val="ListBullet"/>
        <w:spacing w:after="40"/>
      </w:pPr>
      <w:r>
        <w:t>Implement early warning monitoring based on Mid-Term / Internal assessment marks.</w:t>
      </w:r>
    </w:p>
    <w:p>
      <w:pPr>
        <w:spacing w:after="280"/>
      </w:pPr>
    </w:p>
    <w:p>
      <w:pPr>
        <w:jc w:val="center"/>
      </w:pPr>
      <w:r>
        <w:rPr>
          <w:i/>
          <w:color w:val="969696"/>
          <w:sz w:val="17"/>
        </w:rPr>
        <w:t>--- End of Academic Result Analysis Report | Generated Automatically by AI &amp; DS Result Analysis Pipeline ---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