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br w:type="textWrapping"/>
        <w:t xml:space="preserve">In large-scale organizations, especially in defense and research domains such as DRDO labs, Software Requirement Specifications (SRS), Software Design Specifications (SDS), and similar documents are critical for project planning and execution. These documents must adhere to standardized templates and be validated against exhaustive checklists to ensure compliance, quality, and future maintainability. However, the manual review process is time-consuming, error-prone, and requires deep domain knowledge to identify inconsistencies, non-compliance with formatting standards, rule violations, or areas of potential risk.</w:t>
        <w:br w:type="textWrapping"/>
        <w:br w:type="textWrapping"/>
        <w:t xml:space="preserve">To address this, there is a need to develop an AI-powered Assistant for Intelligent Document Review, which automates the end-to-end review process using a predefined rule book and structured checklists. This system should include a user-friendly interface that allows authenticated users to upload documents (e.g., SRS, SDS), verifies document conformity with organizational templates (e.g., RCI format), selects appropriate checklists based on the template, and performs intelligent evaluation of the content.</w:t>
        <w:br w:type="textWrapping"/>
        <w:br w:type="textWrapping"/>
        <w:t xml:space="preserve">The system must:</w:t>
        <w:br w:type="textWrapping"/>
        <w:t xml:space="preserve">1. Automatically classify checklist items based on criticality using a color-coded system (Green: Pass, Amber: Potential Risk, Red: Critical).</w:t>
        <w:br w:type="textWrapping"/>
        <w:t xml:space="preserve">2. Provide detailed reasons for flagged items, such as inaccuracy, insufficiency, redundancy, or violation of established documentation rules.</w:t>
        <w:br w:type="textWrapping"/>
        <w:t xml:space="preserve">3. Enable users to modify flagged checklist items via a side panel and re-submit the document for AI-assisted re-review using a Retrieval-Augmented Generation (RAG) pipeline.</w:t>
        <w:br w:type="textWrapping"/>
        <w:t xml:space="preserve">4. Support digital signature and generate a comprehensive review report after each evaluation cycle.</w:t>
        <w:br w:type="textWrapping"/>
        <w:br w:type="textWrapping"/>
        <w:t xml:space="preserve">This solution aims to significantly reduce manual effort, enhance documentation quality, and ensure standardization across technical documents in compliance-driven environments.</w:t>
        <w:br w:type="textWrapping"/>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pStyle w:val="Heading1"/>
      <w:jc w:val="center"/>
      <w:rPr>
        <w:sz w:val="52"/>
        <w:szCs w:val="52"/>
      </w:rPr>
    </w:pPr>
    <w:bookmarkStart w:colFirst="0" w:colLast="0" w:name="_heading=h.ergjq1voj2th" w:id="0"/>
    <w:bookmarkEnd w:id="0"/>
    <w:r w:rsidDel="00000000" w:rsidR="00000000" w:rsidRPr="00000000">
      <w:rPr>
        <w:sz w:val="52"/>
        <w:szCs w:val="52"/>
        <w:rtl w:val="0"/>
      </w:rPr>
      <w:t xml:space="preserve">Problem Statement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6fZCllSY3+SOoF8yJ7kRVSZQg==">CgMxLjAyDmguZXJnanExdm9qMnRoOAByITF0cUdfb2VfbVAwVXI1WDluMFo2NWYxVl9BZVctZXMzbQ==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