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16B80"/>
          <w:spacing w:val="24"/>
          <w:sz w:val="16"/>
          <w:szCs w:val="16"/>
        </w:rPr>
        <w:t xml:space="preserve">CSC · CMMI ML 5.0 (DEVELOPMENT) AND ML 3.0 (SERVICES)</w:t>
      </w:r>
    </w:p>
    <w:p>
      <w:pPr>
        <w:pBdr>
          <w:bottom w:val="single" w:color="0D1B3E" w:sz="12" w:space="6"/>
        </w:pBdr>
        <w:spacing w:after="100"/>
      </w:pPr>
      <w:r>
        <w:rPr>
          <w:b/>
          <w:bCs/>
          <w:color w:val="0D1B3E"/>
          <w:sz w:val="44"/>
          <w:szCs w:val="44"/>
        </w:rPr>
        <w:t xml:space="preserve">CMMI Data Repository</w:t>
      </w:r>
    </w:p>
    <w:p>
      <w:pPr>
        <w:spacing w:after="60" w:before="160"/>
      </w:pPr>
      <w:r>
        <w:rPr>
          <w:color w:val="616B80"/>
          <w:sz w:val="22"/>
          <w:szCs w:val="22"/>
        </w:rPr>
        <w:t xml:space="preserve">Data flow and entity relationships, drawn from the running schema and the route handlers rather than from an intended design.</w:t>
      </w:r>
    </w:p>
    <w:p>
      <w:pPr>
        <w:spacing w:after="300"/>
      </w:pPr>
      <w:r>
        <w:rPr>
          <w:i/>
          <w:iCs/>
          <w:color w:val="616B80"/>
          <w:sz w:val="18"/>
          <w:szCs w:val="18"/>
        </w:rPr>
        <w:t xml:space="preserve">Row counts as at 9 October 2026.</w:t>
      </w:r>
    </w:p>
    <w:p>
      <w:pPr>
        <w:pStyle w:val="Heading1"/>
        <w:spacing w:after="140" w:before="320"/>
      </w:pPr>
      <w:r>
        <w:rPr>
          <w:b/>
          <w:bCs/>
          <w:color w:val="0D1B3E"/>
          <w:sz w:val="28"/>
          <w:szCs w:val="28"/>
        </w:rPr>
        <w:t xml:space="preserve">1.  Context diagram</w:t>
      </w:r>
    </w:p>
    <w:p>
      <w:pPr>
        <w:spacing w:after="140"/>
      </w:pPr>
      <w:r>
        <w:rPr>
          <w:sz w:val="21"/>
          <w:szCs w:val="21"/>
        </w:rPr>
        <w:t xml:space="preserve">Who hands the system something, and what they get back. One process at this level; everything inside it is the next diagram.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b/>
          <w:bCs/>
          <w:color w:val="0D1B3E"/>
          <w:sz w:val="18"/>
          <w:szCs w:val="18"/>
        </w:rPr>
        <w:t xml:space="preserve">Figure 1. </w:t>
      </w:r>
      <w:r>
        <w:rPr>
          <w:i/>
          <w:iCs/>
          <w:color w:val="616B80"/>
          <w:sz w:val="18"/>
          <w:szCs w:val="18"/>
        </w:rPr>
        <w:t xml:space="preserve">Approved rows are the only thing that leaves. Browse and CSV export filter on stage = 'approved', so a sheet sitting at any of the three approval stages is invisible to the analyst even though its rows are already stored.</w:t>
      </w:r>
    </w:p>
    <w:p>
      <w:pPr>
        <w:pStyle w:val="Heading1"/>
        <w:spacing w:after="140" w:before="320"/>
      </w:pPr>
      <w:r>
        <w:rPr>
          <w:b/>
          <w:bCs/>
          <w:color w:val="0D1B3E"/>
          <w:sz w:val="28"/>
          <w:szCs w:val="28"/>
        </w:rPr>
        <w:t xml:space="preserve">2.  Level 1 — what happens to a workbook</w:t>
      </w:r>
    </w:p>
    <w:p>
      <w:pPr>
        <w:spacing w:after="140"/>
      </w:pPr>
      <w:r>
        <w:rPr>
          <w:sz w:val="21"/>
          <w:szCs w:val="21"/>
        </w:rPr>
        <w:t xml:space="preserve">The path from a file on someone's laptop to a row an analyst can query. Each process writes to its own store; nothing is thrown away along the way.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26289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b/>
          <w:bCs/>
          <w:color w:val="0D1B3E"/>
          <w:sz w:val="18"/>
          <w:szCs w:val="18"/>
        </w:rPr>
        <w:t xml:space="preserve">Figure 2. </w:t>
      </w:r>
      <w:r>
        <w:rPr>
          <w:i/>
          <w:iCs/>
          <w:color w:val="616B80"/>
          <w:sz w:val="18"/>
          <w:szCs w:val="18"/>
        </w:rPr>
        <w:t xml:space="preserve">Rows are written at step 3, before anyone approves anything — approval only flips a column on upload_batch. That is why step 5 has to join back to the batch: the rows themselves carry no approved flag, so the join is what keeps unapproved data out of an export.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D1B3E"/>
          <w:sz w:val="28"/>
          <w:szCs w:val="28"/>
        </w:rPr>
        <w:t xml:space="preserve">3.  The approval chain</w:t>
      </w:r>
    </w:p>
    <w:p>
      <w:pPr>
        <w:spacing w:after="140"/>
      </w:pPr>
      <w:r>
        <w:rPr>
          <w:sz w:val="21"/>
          <w:szCs w:val="21"/>
        </w:rPr>
        <w:t xml:space="preserve">One stage column on upload_batch moves through four values. Each stage belongs to exactly one role, so no one can sign twice — an administrator cannot also give the vertical head's approval.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19526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b/>
          <w:bCs/>
          <w:color w:val="0D1B3E"/>
          <w:sz w:val="18"/>
          <w:szCs w:val="18"/>
        </w:rPr>
        <w:t xml:space="preserve">Figure 3. </w:t>
      </w:r>
      <w:r>
        <w:rPr>
          <w:i/>
          <w:iCs/>
          <w:color w:val="616B80"/>
          <w:sz w:val="18"/>
          <w:szCs w:val="18"/>
        </w:rPr>
        <w:t xml:space="preserve">There is no path back from rejected. A turned-down sheet is corrected outside the system and uploaded again as a new batch, which is why the rejection reason is kept on the old row rather than cleared.</w:t>
      </w:r>
    </w:p>
    <w:p>
      <w:pPr>
        <w:spacing w:after="140"/>
      </w:pPr>
      <w:r>
        <w:rPr>
          <w:sz w:val="21"/>
          <w:szCs w:val="21"/>
        </w:rPr>
        <w:t xml:space="preserve">A sheet reaching approved marks any earlier sheet for the same project and period as superseded rather than deleting it.</w:t>
      </w:r>
    </w:p>
    <w:p>
      <w:pPr>
        <w:pStyle w:val="Heading1"/>
        <w:spacing w:after="140" w:before="320"/>
      </w:pPr>
      <w:r>
        <w:rPr>
          <w:b/>
          <w:bCs/>
          <w:color w:val="0D1B3E"/>
          <w:sz w:val="28"/>
          <w:szCs w:val="28"/>
        </w:rPr>
        <w:t xml:space="preserve">4.  Entity relationships</w:t>
      </w:r>
    </w:p>
    <w:p>
      <w:pPr>
        <w:spacing w:after="140"/>
      </w:pPr>
      <w:r>
        <w:rPr>
          <w:sz w:val="21"/>
          <w:szCs w:val="21"/>
        </w:rPr>
        <w:t xml:space="preserve">Eleven tables. The three reference tables on the left are seeded once by scripts/init_db.py; everything to the right of them is written by an upload.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43719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b/>
          <w:bCs/>
          <w:color w:val="0D1B3E"/>
          <w:sz w:val="18"/>
          <w:szCs w:val="18"/>
        </w:rPr>
        <w:t xml:space="preserve">Figure 4. </w:t>
      </w:r>
      <w:r>
        <w:rPr>
          <w:i/>
          <w:iCs/>
          <w:color w:val="616B80"/>
          <w:sz w:val="18"/>
          <w:szCs w:val="18"/>
        </w:rPr>
        <w:t xml:space="preserve">Both record tables carry project_id and period_id even though upload_batch already has them. That is deliberate denormalisation — it lets a modelling query group 30,739 service rows by period without a join.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D1B3E"/>
          <w:sz w:val="28"/>
          <w:szCs w:val="28"/>
        </w:rPr>
        <w:t xml:space="preserve">5.  Tables as they stand</w:t>
      </w:r>
    </w:p>
    <w:p>
      <w:pPr>
        <w:spacing w:after="200"/>
      </w:pPr>
      <w:r>
        <w:rPr>
          <w:sz w:val="21"/>
          <w:szCs w:val="21"/>
        </w:rPr>
        <w:t xml:space="preserve">Row counts taken from the running database.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500"/>
      </w:tblGrid>
      <w:tr>
        <w:trPr>
          <w:tblHeader/>
        </w:trPr>
        <w:tc>
          <w:tcPr>
            <w:tcW w:type="dxa" w:w="2600"/>
            <w:shd w:fill="0D1B3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900"/>
            <w:shd w:fill="0D1B3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ROWS</w:t>
            </w:r>
          </w:p>
        </w:tc>
        <w:tc>
          <w:tcPr>
            <w:tcW w:type="dxa" w:w="5500"/>
            <w:shd w:fill="0D1B3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HOLDS</w:t>
            </w:r>
          </w:p>
        </w:tc>
      </w:tr>
      <w:tr>
        <w:tc>
          <w:tcPr>
            <w:tcW w:type="dxa" w:w="26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The two active tracks plus five further ML 3.0 views of the model</w:t>
            </w:r>
          </w:p>
        </w:tc>
      </w:tr>
      <w:tr>
        <w:tc>
          <w:tcPr>
            <w:tcW w:type="dxa" w:w="26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Six Development projects, five Services projects</w:t>
            </w:r>
          </w:p>
        </w:tc>
      </w:tr>
      <w:tr>
        <w:tc>
          <w:tcPr>
            <w:tcW w:type="dxa" w:w="26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reporting_period</w:t>
            </w:r>
          </w:p>
        </w:tc>
        <w:tc>
          <w:tcPr>
            <w:tcW w:type="dxa" w:w="9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24</w:t>
            </w:r>
          </w:p>
        </w:tc>
        <w:tc>
          <w:tcPr>
            <w:tcW w:type="dxa" w:w="55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Cycles and months, with real start and end dates</w:t>
            </w:r>
          </w:p>
        </w:tc>
      </w:tr>
      <w:tr>
        <w:tc>
          <w:tcPr>
            <w:tcW w:type="dxa" w:w="26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</w:t>
            </w:r>
          </w:p>
        </w:tc>
        <w:tc>
          <w:tcPr>
            <w:tcW w:type="dxa" w:w="9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Sign-ins: one admin, one CTO, seven vertical heads, one shared uploader</w:t>
            </w:r>
          </w:p>
        </w:tc>
      </w:tr>
      <w:tr>
        <w:tc>
          <w:tcPr>
            <w:tcW w:type="dxa" w:w="26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user_project</w:t>
            </w:r>
          </w:p>
        </w:tc>
        <w:tc>
          <w:tcPr>
            <w:tcW w:type="dxa" w:w="9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Which projects each vertical head covers</w:t>
            </w:r>
          </w:p>
        </w:tc>
      </w:tr>
      <w:tr>
        <w:tc>
          <w:tcPr>
            <w:tcW w:type="dxa" w:w="26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upload_batch</w:t>
            </w:r>
          </w:p>
        </w:tc>
        <w:tc>
          <w:tcPr>
            <w:tcW w:type="dxa" w:w="9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51</w:t>
            </w:r>
          </w:p>
        </w:tc>
        <w:tc>
          <w:tcPr>
            <w:tcW w:type="dxa" w:w="55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One uploaded workbook: who, when, hash, stage, every sign-off</w:t>
            </w:r>
          </w:p>
        </w:tc>
      </w:tr>
      <w:tr>
        <w:tc>
          <w:tcPr>
            <w:tcW w:type="dxa" w:w="26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sheet_tab</w:t>
            </w:r>
          </w:p>
        </w:tc>
        <w:tc>
          <w:tcPr>
            <w:tcW w:type="dxa" w:w="9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172</w:t>
            </w:r>
          </w:p>
        </w:tc>
        <w:tc>
          <w:tcPr>
            <w:tcW w:type="dxa" w:w="55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Each worksheet, its header row, or why it was skipped</w:t>
            </w:r>
          </w:p>
        </w:tc>
      </w:tr>
      <w:tr>
        <w:tc>
          <w:tcPr>
            <w:tcW w:type="dxa" w:w="26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development_record</w:t>
            </w:r>
          </w:p>
        </w:tc>
        <w:tc>
          <w:tcPr>
            <w:tcW w:type="dxa" w:w="9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540</w:t>
            </w:r>
          </w:p>
        </w:tc>
        <w:tc>
          <w:tcPr>
            <w:tcW w:type="dxa" w:w="55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One row per module / CR / use case — 43 data columns</w:t>
            </w:r>
          </w:p>
        </w:tc>
      </w:tr>
      <w:tr>
        <w:tc>
          <w:tcPr>
            <w:tcW w:type="dxa" w:w="26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services_record</w:t>
            </w:r>
          </w:p>
        </w:tc>
        <w:tc>
          <w:tcPr>
            <w:tcW w:type="dxa" w:w="9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30,739</w:t>
            </w:r>
          </w:p>
        </w:tc>
        <w:tc>
          <w:tcPr>
            <w:tcW w:type="dxa" w:w="55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One row per ticket — 21 data columns</w:t>
            </w:r>
          </w:p>
        </w:tc>
      </w:tr>
      <w:tr>
        <w:tc>
          <w:tcPr>
            <w:tcW w:type="dxa" w:w="26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organogram_entry</w:t>
            </w:r>
          </w:p>
        </w:tc>
        <w:tc>
          <w:tcPr>
            <w:tcW w:type="dxa" w:w="9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Vertical and head per project, from the organogram files</w:t>
            </w:r>
          </w:p>
        </w:tc>
      </w:tr>
      <w:tr>
        <w:tc>
          <w:tcPr>
            <w:tcW w:type="dxa" w:w="26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org_person</w:t>
            </w:r>
          </w:p>
        </w:tc>
        <w:tc>
          <w:tcPr>
            <w:tcW w:type="dxa" w:w="9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156</w:t>
            </w:r>
          </w:p>
        </w:tc>
        <w:tc>
          <w:tcPr>
            <w:tcW w:type="dxa" w:w="5500"/>
            <w:tcBorders>
              <w:top w:val="single" w:color="DDE1E9" w:sz="2"/>
              <w:left w:val="single" w:color="DDE1E9" w:sz="2"/>
              <w:bottom w:val="single" w:color="DDE1E9" w:sz="2"/>
              <w:right w:val="single" w:color="DDE1E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The reporting tree, self-referencing through reports_to_id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D1B3E"/>
          <w:sz w:val="28"/>
          <w:szCs w:val="28"/>
        </w:rPr>
        <w:t xml:space="preserve">6.  Four things the diagrams imply</w:t>
      </w:r>
    </w:p>
    <w:p>
      <w:pPr>
        <w:spacing w:after="160"/>
        <w:ind w:left="360" w:hanging="180"/>
      </w:pPr>
      <w:r>
        <w:rPr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 xml:space="preserve">There is no activity or audit table. </w:t>
      </w:r>
      <w:r>
        <w:rPr>
          <w:sz w:val="21"/>
          <w:szCs w:val="21"/>
        </w:rPr>
        <w:t xml:space="preserve">The Activity page is derived at request time from the timestamp columns on upload_batch and user — one batch row produces up to five dated events. Those columns are the record of truth, so the trail cannot drift from what it describes.</w:t>
      </w:r>
    </w:p>
    <w:p>
      <w:pPr>
        <w:spacing w:after="160"/>
        <w:ind w:left="360" w:hanging="180"/>
      </w:pPr>
      <w:r>
        <w:rPr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 xml:space="preserve">Deleting an upload deletes its history. </w:t>
      </w:r>
      <w:r>
        <w:rPr>
          <w:sz w:val="21"/>
          <w:szCs w:val="21"/>
        </w:rPr>
        <w:t xml:space="preserve">sheet_tab and both record tables cascade from upload_batch, and the batch row carries the approvals, so a DELETE removes the upload, its rows and its sign-offs together. Only an administrator can delete.</w:t>
      </w:r>
    </w:p>
    <w:p>
      <w:pPr>
        <w:spacing w:after="160"/>
        <w:ind w:left="360" w:hanging="180"/>
      </w:pPr>
      <w:r>
        <w:rPr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 xml:space="preserve">Row identity is the file plus the row's own name. </w:t>
      </w:r>
      <w:r>
        <w:rPr>
          <w:sz w:val="21"/>
          <w:szCs w:val="21"/>
        </w:rPr>
        <w:t xml:space="preserve">service_name for Development, request_id for Services. Both pairs are indexed but neither is unique: Request IDs genuinely repeat in the Services logs, so a unique key would reject real rows.</w:t>
      </w:r>
    </w:p>
    <w:p>
      <w:pPr>
        <w:spacing w:after="160"/>
        <w:ind w:left="360" w:hanging="180"/>
      </w:pPr>
      <w:r>
        <w:rPr>
          <w:sz w:val="21"/>
          <w:szCs w:val="21"/>
        </w:rPr>
        <w:t xml:space="preserve">•  </w:t>
      </w:r>
      <w:r>
        <w:rPr>
          <w:b/>
          <w:bCs/>
          <w:sz w:val="21"/>
          <w:szCs w:val="21"/>
        </w:rPr>
        <w:t xml:space="preserve">Nothing is discarded on the way in. </w:t>
      </w:r>
      <w:r>
        <w:rPr>
          <w:sz w:val="21"/>
          <w:szCs w:val="21"/>
        </w:rPr>
        <w:t xml:space="preserve">A heading the catalogue does not recognise goes to extra_columns as JSON and is flagged on the upload page; a worksheet that is not a data collection sheet still gets a sheet_tab row recording why it was skipped.</w:t>
      </w:r>
    </w:p>
    <w:p>
      <w:pPr>
        <w:pBdr>
          <w:top w:val="single" w:color="DDE1E9" w:sz="6" w:space="8"/>
        </w:pBdr>
        <w:spacing w:before="400"/>
      </w:pPr>
      <w:r>
        <w:rPr>
          <w:color w:val="616B80"/>
          <w:sz w:val="17"/>
          <w:szCs w:val="17"/>
        </w:rPr>
        <w:t xml:space="preserve">Drawn from app/models.py, app/ingest.py and app/main.py, with row counts and foreign keys read from the live MySQL schema. Source diagrams: docs/*.svg in the repository.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0c36ec647e4bd2066487e9f5bb50027cdc62d20.png"/><Relationship Id="rId8" Type="http://schemas.openxmlformats.org/officeDocument/2006/relationships/image" Target="media/fda3da95146c18c3c65ac55f36f38634acb687b4.png"/><Relationship Id="rId9" Type="http://schemas.openxmlformats.org/officeDocument/2006/relationships/image" Target="media/84f12ff9a44b83eb0523cb9cb4df3f82cbe89247.png"/><Relationship Id="rId10" Type="http://schemas.openxmlformats.org/officeDocument/2006/relationships/image" Target="media/4f29d23531bd0cc9191740024533f29c1c22fb6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CMMI Data Repository — Diagrams</dc:title>
  <dc:creator>Rajkishore Kumar</dc:creator>
  <dc:description>Data flow and entity relationships for the CMMI data collection repository</dc:description>
  <cp:lastModifiedBy>Un-named</cp:lastModifiedBy>
  <cp:revision>1</cp:revision>
  <dcterms:created xsi:type="dcterms:W3CDTF">2026-10-09T10:09:01.285Z</dcterms:created>
  <dcterms:modified xsi:type="dcterms:W3CDTF">2026-10-09T10:09:01.286Z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