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16B80"/>
          <w:spacing w:val="24"/>
          <w:sz w:val="16"/>
          <w:szCs w:val="16"/>
        </w:rPr>
        <w:t xml:space="preserve">CSC · CMMI ML 5.0 (DEVELOPMENT) AND ML 3.0 (SERVICES)</w:t>
      </w:r>
    </w:p>
    <w:p>
      <w:pPr>
        <w:pBdr>
          <w:bottom w:val="single" w:color="0D1B3E" w:sz="12" w:space="6"/>
        </w:pBdr>
        <w:spacing w:after="100"/>
      </w:pPr>
      <w:r>
        <w:rPr>
          <w:b/>
          <w:bCs/>
          <w:color w:val="0D1B3E"/>
          <w:sz w:val="40"/>
          <w:szCs w:val="40"/>
        </w:rPr>
        <w:t xml:space="preserve">Data Flow Diagrams</w:t>
      </w:r>
    </w:p>
    <w:p>
      <w:pPr>
        <w:spacing w:after="40" w:before="160"/>
      </w:pPr>
      <w:r>
        <w:rPr>
          <w:color w:val="616B80"/>
          <w:sz w:val="22"/>
          <w:szCs w:val="22"/>
        </w:rPr>
        <w:t xml:space="preserve">How a data collection sheet travels from a project team's laptop to a row an analyst can query, who signs it off on the way, and what is written at each step.</w:t>
      </w:r>
    </w:p>
    <w:p>
      <w:pPr>
        <w:spacing w:after="240"/>
      </w:pPr>
      <w:r>
        <w:rPr>
          <w:i/>
          <w:iCs/>
          <w:color w:val="616B80"/>
          <w:sz w:val="18"/>
          <w:szCs w:val="18"/>
        </w:rPr>
        <w:t xml:space="preserve">Context diagram, level 1 decomposition, process specifications and the approval state machine.</w:t>
      </w:r>
    </w:p>
    <w:p>
      <w:pPr>
        <w:pStyle w:val="Heading1"/>
        <w:spacing w:after="140" w:before="340"/>
      </w:pPr>
      <w:r>
        <w:rPr>
          <w:b/>
          <w:bCs/>
          <w:color w:val="0D1B3E"/>
          <w:sz w:val="28"/>
          <w:szCs w:val="28"/>
        </w:rPr>
        <w:t xml:space="preserve">1.  Context diagram</w:t>
      </w:r>
    </w:p>
    <w:p>
      <w:pPr>
        <w:spacing w:after="140"/>
      </w:pPr>
      <w:r>
        <w:rPr>
          <w:sz w:val="21"/>
          <w:szCs w:val="21"/>
        </w:rPr>
        <w:t xml:space="preserve">Who hands the system something, and what they get back. One process at this level; everything inside it is section 2.</w:t>
      </w:r>
    </w:p>
    <w:p>
      <w:pPr>
        <w:spacing w:after="80" w:before="160"/>
        <w:jc w:val="center"/>
      </w:pPr>
      <w:r>
        <w:drawing>
          <wp:inline distT="0" distB="0" distL="0" distR="0">
            <wp:extent cx="5715000" cy="20859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085975"/>
                    </a:xfrm>
                    <a:prstGeom prst="rect">
                      <a:avLst/>
                    </a:prstGeom>
                  </pic:spPr>
                </pic:pic>
              </a:graphicData>
            </a:graphic>
          </wp:inline>
        </w:drawing>
      </w:r>
    </w:p>
    <w:p>
      <w:pPr>
        <w:spacing w:after="280"/>
      </w:pPr>
      <w:r>
        <w:rPr>
          <w:b/>
          <w:bCs/>
          <w:color w:val="0D1B3E"/>
          <w:sz w:val="18"/>
          <w:szCs w:val="18"/>
        </w:rPr>
        <w:t xml:space="preserve">Figure 1. </w:t>
      </w:r>
      <w:r>
        <w:rPr>
          <w:i/>
          <w:iCs/>
          <w:color w:val="616B80"/>
          <w:sz w:val="18"/>
          <w:szCs w:val="18"/>
        </w:rPr>
        <w:t xml:space="preserve">Approved rows are the only thing that leaves. Browse and CSV export filter on stage = 'approved', so a sheet sitting at any of the three approval stages is invisible to the analyst even though its rows are already stored.</w:t>
      </w:r>
    </w:p>
    <w:p>
      <w:pPr>
        <w:pStyle w:val="Heading2"/>
        <w:spacing w:after="100" w:before="260"/>
      </w:pPr>
      <w:r>
        <w:rPr>
          <w:b/>
          <w:bCs/>
          <w:color w:val="0D1B3E"/>
          <w:sz w:val="23"/>
          <w:szCs w:val="23"/>
        </w:rPr>
        <w:t xml:space="preserve">External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tcW w:type="dxa" w:w="2300"/>
            <w:shd w:fill="0D1B3E" w:val="clear"/>
            <w:tcMar>
              <w:top w:type="dxa" w:w="90"/>
              <w:left w:type="dxa" w:w="110"/>
              <w:bottom w:type="dxa" w:w="90"/>
              <w:right w:type="dxa" w:w="110"/>
            </w:tcMar>
          </w:tcPr>
          <w:p>
            <w:pPr>
              <w:jc w:val="left"/>
            </w:pPr>
            <w:r>
              <w:rPr>
                <w:b/>
                <w:bCs/>
                <w:color w:val="FFFFFF"/>
                <w:sz w:val="16"/>
                <w:szCs w:val="16"/>
              </w:rPr>
              <w:t xml:space="preserve">ENTITY</w:t>
            </w:r>
          </w:p>
        </w:tc>
        <w:tc>
          <w:tcPr>
            <w:tcW w:type="dxa" w:w="6700"/>
            <w:shd w:fill="0D1B3E" w:val="clear"/>
            <w:tcMar>
              <w:top w:type="dxa" w:w="90"/>
              <w:left w:type="dxa" w:w="110"/>
              <w:bottom w:type="dxa" w:w="90"/>
              <w:right w:type="dxa" w:w="110"/>
            </w:tcMar>
          </w:tcPr>
          <w:p>
            <w:pPr>
              <w:jc w:val="left"/>
            </w:pPr>
            <w:r>
              <w:rPr>
                <w:b/>
                <w:bCs/>
                <w:color w:val="FFFFFF"/>
                <w:sz w:val="16"/>
                <w:szCs w:val="16"/>
              </w:rPr>
              <w:t xml:space="preserve">ROLE</w:t>
            </w:r>
          </w:p>
        </w:tc>
      </w:tr>
      <w:tr>
        <w:tc>
          <w:tcPr>
            <w:tcW w:type="dxa" w:w="23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b/>
                <w:bCs/>
                <w:sz w:val="18"/>
                <w:szCs w:val="18"/>
              </w:rPr>
              <w:t xml:space="preserve">Uploader</w:t>
            </w:r>
          </w:p>
        </w:tc>
        <w:tc>
          <w:tcPr>
            <w:tcW w:type="dxa" w:w="67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b w:val="false"/>
                <w:bCs w:val="false"/>
                <w:sz w:val="18"/>
                <w:szCs w:val="18"/>
              </w:rPr>
              <w:t xml:space="preserve">The CMMI team member who submits a workbook, choosing the track, the project and the period. Cannot approve or delete.</w:t>
            </w:r>
          </w:p>
        </w:tc>
      </w:tr>
      <w:tr>
        <w:tc>
          <w:tcPr>
            <w:tcW w:type="dxa" w:w="2300"/>
            <w:tcBorders>
              <w:top w:val="single" w:color="DDE1E9" w:sz="2"/>
              <w:left w:val="single" w:color="DDE1E9" w:sz="2"/>
              <w:bottom w:val="single" w:color="DDE1E9" w:sz="2"/>
              <w:right w:val="single" w:color="DDE1E9" w:sz="2"/>
            </w:tcBorders>
            <w:shd w:fill="F4F6FA" w:val="clear"/>
            <w:tcMar>
              <w:top w:type="dxa" w:w="70"/>
              <w:left w:type="dxa" w:w="110"/>
              <w:bottom w:type="dxa" w:w="70"/>
              <w:right w:type="dxa" w:w="110"/>
            </w:tcMar>
          </w:tcPr>
          <w:p>
            <w:pPr>
              <w:jc w:val="left"/>
            </w:pPr>
            <w:r>
              <w:rPr>
                <w:b/>
                <w:bCs/>
                <w:sz w:val="18"/>
                <w:szCs w:val="18"/>
              </w:rPr>
              <w:t xml:space="preserve">Bulk upload</w:t>
            </w:r>
          </w:p>
        </w:tc>
        <w:tc>
          <w:tcPr>
            <w:tcW w:type="dxa" w:w="6700"/>
            <w:tcBorders>
              <w:top w:val="single" w:color="DDE1E9" w:sz="2"/>
              <w:left w:val="single" w:color="DDE1E9" w:sz="2"/>
              <w:bottom w:val="single" w:color="DDE1E9" w:sz="2"/>
              <w:right w:val="single" w:color="DDE1E9" w:sz="2"/>
            </w:tcBorders>
            <w:shd w:fill="F4F6FA" w:val="clear"/>
            <w:tcMar>
              <w:top w:type="dxa" w:w="70"/>
              <w:left w:type="dxa" w:w="110"/>
              <w:bottom w:type="dxa" w:w="70"/>
              <w:right w:type="dxa" w:w="110"/>
            </w:tcMar>
          </w:tcPr>
          <w:p>
            <w:pPr>
              <w:jc w:val="left"/>
            </w:pPr>
            <w:r>
              <w:rPr>
                <w:b w:val="false"/>
                <w:bCs w:val="false"/>
                <w:sz w:val="18"/>
                <w:szCs w:val="18"/>
              </w:rPr>
              <w:t xml:space="preserve">A whole folder of sheets loaded at once by scripts/bulk_import.py, rather than one file at a time through the web page. Those imports land as pending review like any other.</w:t>
            </w:r>
          </w:p>
        </w:tc>
      </w:tr>
      <w:tr>
        <w:tc>
          <w:tcPr>
            <w:tcW w:type="dxa" w:w="23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b/>
                <w:bCs/>
                <w:sz w:val="18"/>
                <w:szCs w:val="18"/>
              </w:rPr>
              <w:t xml:space="preserve">Vertical Head · Admin · CTO</w:t>
            </w:r>
          </w:p>
        </w:tc>
        <w:tc>
          <w:tcPr>
            <w:tcW w:type="dxa" w:w="67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b w:val="false"/>
                <w:bCs w:val="false"/>
                <w:sz w:val="18"/>
                <w:szCs w:val="18"/>
              </w:rPr>
              <w:t xml:space="preserve">The three approvers. Each sees the sheets waiting at their own stage and returns an approval or a rejection with a reason.</w:t>
            </w:r>
          </w:p>
        </w:tc>
      </w:tr>
      <w:tr>
        <w:tc>
          <w:tcPr>
            <w:tcW w:type="dxa" w:w="2300"/>
            <w:tcBorders>
              <w:top w:val="single" w:color="DDE1E9" w:sz="2"/>
              <w:left w:val="single" w:color="DDE1E9" w:sz="2"/>
              <w:bottom w:val="single" w:color="DDE1E9" w:sz="2"/>
              <w:right w:val="single" w:color="DDE1E9" w:sz="2"/>
            </w:tcBorders>
            <w:shd w:fill="F4F6FA" w:val="clear"/>
            <w:tcMar>
              <w:top w:type="dxa" w:w="70"/>
              <w:left w:type="dxa" w:w="110"/>
              <w:bottom w:type="dxa" w:w="70"/>
              <w:right w:type="dxa" w:w="110"/>
            </w:tcMar>
          </w:tcPr>
          <w:p>
            <w:pPr>
              <w:jc w:val="left"/>
            </w:pPr>
            <w:r>
              <w:rPr>
                <w:b/>
                <w:bCs/>
                <w:sz w:val="18"/>
                <w:szCs w:val="18"/>
              </w:rPr>
              <w:t xml:space="preserve">Analyst / MQAS</w:t>
            </w:r>
          </w:p>
        </w:tc>
        <w:tc>
          <w:tcPr>
            <w:tcW w:type="dxa" w:w="6700"/>
            <w:tcBorders>
              <w:top w:val="single" w:color="DDE1E9" w:sz="2"/>
              <w:left w:val="single" w:color="DDE1E9" w:sz="2"/>
              <w:bottom w:val="single" w:color="DDE1E9" w:sz="2"/>
              <w:right w:val="single" w:color="DDE1E9" w:sz="2"/>
            </w:tcBorders>
            <w:shd w:fill="F4F6FA" w:val="clear"/>
            <w:tcMar>
              <w:top w:type="dxa" w:w="70"/>
              <w:left w:type="dxa" w:w="110"/>
              <w:bottom w:type="dxa" w:w="70"/>
              <w:right w:type="dxa" w:w="110"/>
            </w:tcMar>
          </w:tcPr>
          <w:p>
            <w:pPr>
              <w:jc w:val="left"/>
            </w:pPr>
            <w:r>
              <w:rPr>
                <w:b w:val="false"/>
                <w:bCs w:val="false"/>
                <w:sz w:val="18"/>
                <w:szCs w:val="18"/>
              </w:rPr>
              <w:t xml:space="preserve">Takes approved rows out, as CSV from the browse page or by querying MySQL directly.</w:t>
            </w:r>
          </w:p>
        </w:tc>
      </w:tr>
    </w:tbl>
    <w:p>
      <w:r>
        <w:br w:type="page"/>
      </w:r>
    </w:p>
    <w:p>
      <w:pPr>
        <w:pStyle w:val="Heading1"/>
        <w:spacing w:after="140" w:before="340"/>
      </w:pPr>
      <w:r>
        <w:rPr>
          <w:b/>
          <w:bCs/>
          <w:color w:val="0D1B3E"/>
          <w:sz w:val="28"/>
          <w:szCs w:val="28"/>
        </w:rPr>
        <w:t xml:space="preserve">2.  Level 1 — what happens to a workbook</w:t>
      </w:r>
    </w:p>
    <w:p>
      <w:pPr>
        <w:spacing w:after="140"/>
      </w:pPr>
      <w:r>
        <w:rPr>
          <w:sz w:val="21"/>
          <w:szCs w:val="21"/>
        </w:rPr>
        <w:t xml:space="preserve">Five processes, each writing to its own store. Nothing is thrown away along the way: the original file is kept as sent, every worksheet gets a row recording whether it parsed, and a heading the catalogue does not recognise is kept as JSON.</w:t>
      </w:r>
    </w:p>
    <w:p>
      <w:pPr>
        <w:spacing w:after="80" w:before="160"/>
        <w:jc w:val="center"/>
      </w:pPr>
      <w:r>
        <w:drawing>
          <wp:inline distT="0" distB="0" distL="0" distR="0">
            <wp:extent cx="5715000" cy="26289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28900"/>
                    </a:xfrm>
                    <a:prstGeom prst="rect">
                      <a:avLst/>
                    </a:prstGeom>
                  </pic:spPr>
                </pic:pic>
              </a:graphicData>
            </a:graphic>
          </wp:inline>
        </w:drawing>
      </w:r>
    </w:p>
    <w:p>
      <w:pPr>
        <w:spacing w:after="280"/>
      </w:pPr>
      <w:r>
        <w:rPr>
          <w:b/>
          <w:bCs/>
          <w:color w:val="0D1B3E"/>
          <w:sz w:val="18"/>
          <w:szCs w:val="18"/>
        </w:rPr>
        <w:t xml:space="preserve">Figure 2. </w:t>
      </w:r>
      <w:r>
        <w:rPr>
          <w:i/>
          <w:iCs/>
          <w:color w:val="616B80"/>
          <w:sz w:val="18"/>
          <w:szCs w:val="18"/>
        </w:rPr>
        <w:t xml:space="preserve">Rows are written at step 3, before anyone approves anything — approval only flips a column on upload_batch. That is why step 5 has to join back to the batch: the rows themselves carry no approved flag, so the join is what keeps unapproved data out of an export.</w:t>
      </w:r>
    </w:p>
    <w:p>
      <w:pPr>
        <w:pStyle w:val="Heading2"/>
        <w:spacing w:after="100" w:before="260"/>
      </w:pPr>
      <w:r>
        <w:rPr>
          <w:b/>
          <w:bCs/>
          <w:color w:val="0D1B3E"/>
          <w:sz w:val="23"/>
          <w:szCs w:val="23"/>
        </w:rPr>
        <w:t xml:space="preserve">Data stores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300"/>
      </w:tblGrid>
      <w:tr>
        <w:trPr>
          <w:tblHeader/>
        </w:trPr>
        <w:tc>
          <w:tcPr>
            <w:tcW w:type="dxa" w:w="1100"/>
            <w:shd w:fill="0D1B3E" w:val="clear"/>
            <w:tcMar>
              <w:top w:type="dxa" w:w="90"/>
              <w:left w:type="dxa" w:w="110"/>
              <w:bottom w:type="dxa" w:w="90"/>
              <w:right w:type="dxa" w:w="110"/>
            </w:tcMar>
          </w:tcPr>
          <w:p>
            <w:pPr>
              <w:jc w:val="left"/>
            </w:pPr>
            <w:r>
              <w:rPr>
                <w:b/>
                <w:bCs/>
                <w:color w:val="FFFFFF"/>
                <w:sz w:val="16"/>
                <w:szCs w:val="16"/>
              </w:rPr>
              <w:t xml:space="preserve">ID</w:t>
            </w:r>
          </w:p>
        </w:tc>
        <w:tc>
          <w:tcPr>
            <w:tcW w:type="dxa" w:w="2600"/>
            <w:shd w:fill="0D1B3E" w:val="clear"/>
            <w:tcMar>
              <w:top w:type="dxa" w:w="90"/>
              <w:left w:type="dxa" w:w="110"/>
              <w:bottom w:type="dxa" w:w="90"/>
              <w:right w:type="dxa" w:w="110"/>
            </w:tcMar>
          </w:tcPr>
          <w:p>
            <w:pPr>
              <w:jc w:val="left"/>
            </w:pPr>
            <w:r>
              <w:rPr>
                <w:b/>
                <w:bCs/>
                <w:color w:val="FFFFFF"/>
                <w:sz w:val="16"/>
                <w:szCs w:val="16"/>
              </w:rPr>
              <w:t xml:space="preserve">STORE</w:t>
            </w:r>
          </w:p>
        </w:tc>
        <w:tc>
          <w:tcPr>
            <w:tcW w:type="dxa" w:w="5300"/>
            <w:shd w:fill="0D1B3E" w:val="clear"/>
            <w:tcMar>
              <w:top w:type="dxa" w:w="90"/>
              <w:left w:type="dxa" w:w="110"/>
              <w:bottom w:type="dxa" w:w="90"/>
              <w:right w:type="dxa" w:w="110"/>
            </w:tcMar>
          </w:tcPr>
          <w:p>
            <w:pPr>
              <w:jc w:val="left"/>
            </w:pPr>
            <w:r>
              <w:rPr>
                <w:b/>
                <w:bCs/>
                <w:color w:val="FFFFFF"/>
                <w:sz w:val="16"/>
                <w:szCs w:val="16"/>
              </w:rPr>
              <w:t xml:space="preserve">HOLDS</w:t>
            </w:r>
          </w:p>
        </w:tc>
      </w:tr>
      <w:tr>
        <w:tc>
          <w:tcPr>
            <w:tcW w:type="dxa" w:w="11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rFonts w:ascii="Consolas" w:cs="Consolas" w:eastAsia="Consolas" w:hAnsi="Consolas"/>
                <w:sz w:val="17"/>
                <w:szCs w:val="17"/>
              </w:rPr>
              <w:t xml:space="preserve">D1</w:t>
            </w:r>
          </w:p>
        </w:tc>
        <w:tc>
          <w:tcPr>
            <w:tcW w:type="dxa" w:w="26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rFonts w:ascii="Consolas" w:cs="Consolas" w:eastAsia="Consolas" w:hAnsi="Consolas"/>
                <w:sz w:val="17"/>
                <w:szCs w:val="17"/>
              </w:rPr>
              <w:t xml:space="preserve">storage/uploads</w:t>
            </w:r>
          </w:p>
        </w:tc>
        <w:tc>
          <w:tcPr>
            <w:tcW w:type="dxa" w:w="53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b w:val="false"/>
                <w:bCs w:val="false"/>
                <w:sz w:val="18"/>
                <w:szCs w:val="18"/>
              </w:rPr>
              <w:t xml:space="preserve">The original file, kept byte for byte under &lt;project&gt;/&lt;period&gt;/, so it is always recoverable.</w:t>
            </w:r>
          </w:p>
        </w:tc>
      </w:tr>
      <w:tr>
        <w:tc>
          <w:tcPr>
            <w:tcW w:type="dxa" w:w="1100"/>
            <w:tcBorders>
              <w:top w:val="single" w:color="DDE1E9" w:sz="2"/>
              <w:left w:val="single" w:color="DDE1E9" w:sz="2"/>
              <w:bottom w:val="single" w:color="DDE1E9" w:sz="2"/>
              <w:right w:val="single" w:color="DDE1E9" w:sz="2"/>
            </w:tcBorders>
            <w:shd w:fill="F4F6FA" w:val="clear"/>
            <w:tcMar>
              <w:top w:type="dxa" w:w="70"/>
              <w:left w:type="dxa" w:w="110"/>
              <w:bottom w:type="dxa" w:w="70"/>
              <w:right w:type="dxa" w:w="110"/>
            </w:tcMar>
          </w:tcPr>
          <w:p>
            <w:pPr>
              <w:jc w:val="left"/>
            </w:pPr>
            <w:r>
              <w:rPr>
                <w:rFonts w:ascii="Consolas" w:cs="Consolas" w:eastAsia="Consolas" w:hAnsi="Consolas"/>
                <w:sz w:val="17"/>
                <w:szCs w:val="17"/>
              </w:rPr>
              <w:t xml:space="preserve">D2</w:t>
            </w:r>
          </w:p>
        </w:tc>
        <w:tc>
          <w:tcPr>
            <w:tcW w:type="dxa" w:w="2600"/>
            <w:tcBorders>
              <w:top w:val="single" w:color="DDE1E9" w:sz="2"/>
              <w:left w:val="single" w:color="DDE1E9" w:sz="2"/>
              <w:bottom w:val="single" w:color="DDE1E9" w:sz="2"/>
              <w:right w:val="single" w:color="DDE1E9" w:sz="2"/>
            </w:tcBorders>
            <w:shd w:fill="F4F6FA" w:val="clear"/>
            <w:tcMar>
              <w:top w:type="dxa" w:w="70"/>
              <w:left w:type="dxa" w:w="110"/>
              <w:bottom w:type="dxa" w:w="70"/>
              <w:right w:type="dxa" w:w="110"/>
            </w:tcMar>
          </w:tcPr>
          <w:p>
            <w:pPr>
              <w:jc w:val="left"/>
            </w:pPr>
            <w:r>
              <w:rPr>
                <w:rFonts w:ascii="Consolas" w:cs="Consolas" w:eastAsia="Consolas" w:hAnsi="Consolas"/>
                <w:sz w:val="17"/>
                <w:szCs w:val="17"/>
              </w:rPr>
              <w:t xml:space="preserve">sheet_tab</w:t>
            </w:r>
          </w:p>
        </w:tc>
        <w:tc>
          <w:tcPr>
            <w:tcW w:type="dxa" w:w="5300"/>
            <w:tcBorders>
              <w:top w:val="single" w:color="DDE1E9" w:sz="2"/>
              <w:left w:val="single" w:color="DDE1E9" w:sz="2"/>
              <w:bottom w:val="single" w:color="DDE1E9" w:sz="2"/>
              <w:right w:val="single" w:color="DDE1E9" w:sz="2"/>
            </w:tcBorders>
            <w:shd w:fill="F4F6FA" w:val="clear"/>
            <w:tcMar>
              <w:top w:type="dxa" w:w="70"/>
              <w:left w:type="dxa" w:w="110"/>
              <w:bottom w:type="dxa" w:w="70"/>
              <w:right w:type="dxa" w:w="110"/>
            </w:tcMar>
          </w:tcPr>
          <w:p>
            <w:pPr>
              <w:jc w:val="left"/>
            </w:pPr>
            <w:r>
              <w:rPr>
                <w:b w:val="false"/>
                <w:bCs w:val="false"/>
                <w:sz w:val="18"/>
                <w:szCs w:val="18"/>
              </w:rPr>
              <w:t xml:space="preserve">One row per worksheet: its header row, the columns that mapped, or the reason it was skipped.</w:t>
            </w:r>
          </w:p>
        </w:tc>
      </w:tr>
      <w:tr>
        <w:tc>
          <w:tcPr>
            <w:tcW w:type="dxa" w:w="11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rFonts w:ascii="Consolas" w:cs="Consolas" w:eastAsia="Consolas" w:hAnsi="Consolas"/>
                <w:sz w:val="17"/>
                <w:szCs w:val="17"/>
              </w:rPr>
              <w:t xml:space="preserve">D3</w:t>
            </w:r>
          </w:p>
        </w:tc>
        <w:tc>
          <w:tcPr>
            <w:tcW w:type="dxa" w:w="26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rFonts w:ascii="Consolas" w:cs="Consolas" w:eastAsia="Consolas" w:hAnsi="Consolas"/>
                <w:sz w:val="17"/>
                <w:szCs w:val="17"/>
              </w:rPr>
              <w:t xml:space="preserve">development_record / services_record</w:t>
            </w:r>
          </w:p>
        </w:tc>
        <w:tc>
          <w:tcPr>
            <w:tcW w:type="dxa" w:w="53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b w:val="false"/>
                <w:bCs w:val="false"/>
                <w:sz w:val="18"/>
                <w:szCs w:val="18"/>
              </w:rPr>
              <w:t xml:space="preserve">One row per spreadsheet row, with the sheet's columns as real columns.</w:t>
            </w:r>
          </w:p>
        </w:tc>
      </w:tr>
      <w:tr>
        <w:tc>
          <w:tcPr>
            <w:tcW w:type="dxa" w:w="1100"/>
            <w:tcBorders>
              <w:top w:val="single" w:color="DDE1E9" w:sz="2"/>
              <w:left w:val="single" w:color="DDE1E9" w:sz="2"/>
              <w:bottom w:val="single" w:color="DDE1E9" w:sz="2"/>
              <w:right w:val="single" w:color="DDE1E9" w:sz="2"/>
            </w:tcBorders>
            <w:shd w:fill="F4F6FA" w:val="clear"/>
            <w:tcMar>
              <w:top w:type="dxa" w:w="70"/>
              <w:left w:type="dxa" w:w="110"/>
              <w:bottom w:type="dxa" w:w="70"/>
              <w:right w:type="dxa" w:w="110"/>
            </w:tcMar>
          </w:tcPr>
          <w:p>
            <w:pPr>
              <w:jc w:val="left"/>
            </w:pPr>
            <w:r>
              <w:rPr>
                <w:rFonts w:ascii="Consolas" w:cs="Consolas" w:eastAsia="Consolas" w:hAnsi="Consolas"/>
                <w:sz w:val="17"/>
                <w:szCs w:val="17"/>
              </w:rPr>
              <w:t xml:space="preserve">D4</w:t>
            </w:r>
          </w:p>
        </w:tc>
        <w:tc>
          <w:tcPr>
            <w:tcW w:type="dxa" w:w="2600"/>
            <w:tcBorders>
              <w:top w:val="single" w:color="DDE1E9" w:sz="2"/>
              <w:left w:val="single" w:color="DDE1E9" w:sz="2"/>
              <w:bottom w:val="single" w:color="DDE1E9" w:sz="2"/>
              <w:right w:val="single" w:color="DDE1E9" w:sz="2"/>
            </w:tcBorders>
            <w:shd w:fill="F4F6FA" w:val="clear"/>
            <w:tcMar>
              <w:top w:type="dxa" w:w="70"/>
              <w:left w:type="dxa" w:w="110"/>
              <w:bottom w:type="dxa" w:w="70"/>
              <w:right w:type="dxa" w:w="110"/>
            </w:tcMar>
          </w:tcPr>
          <w:p>
            <w:pPr>
              <w:jc w:val="left"/>
            </w:pPr>
            <w:r>
              <w:rPr>
                <w:rFonts w:ascii="Consolas" w:cs="Consolas" w:eastAsia="Consolas" w:hAnsi="Consolas"/>
                <w:sz w:val="17"/>
                <w:szCs w:val="17"/>
              </w:rPr>
              <w:t xml:space="preserve">upload_batch</w:t>
            </w:r>
          </w:p>
        </w:tc>
        <w:tc>
          <w:tcPr>
            <w:tcW w:type="dxa" w:w="5300"/>
            <w:tcBorders>
              <w:top w:val="single" w:color="DDE1E9" w:sz="2"/>
              <w:left w:val="single" w:color="DDE1E9" w:sz="2"/>
              <w:bottom w:val="single" w:color="DDE1E9" w:sz="2"/>
              <w:right w:val="single" w:color="DDE1E9" w:sz="2"/>
            </w:tcBorders>
            <w:shd w:fill="F4F6FA" w:val="clear"/>
            <w:tcMar>
              <w:top w:type="dxa" w:w="70"/>
              <w:left w:type="dxa" w:w="110"/>
              <w:bottom w:type="dxa" w:w="70"/>
              <w:right w:type="dxa" w:w="110"/>
            </w:tcMar>
          </w:tcPr>
          <w:p>
            <w:pPr>
              <w:jc w:val="left"/>
            </w:pPr>
            <w:r>
              <w:rPr>
                <w:b w:val="false"/>
                <w:bCs w:val="false"/>
                <w:sz w:val="18"/>
                <w:szCs w:val="18"/>
              </w:rPr>
              <w:t xml:space="preserve">The upload itself: who, when, file hash, stage, and each sign-off with its timestamp and note.</w:t>
            </w:r>
          </w:p>
        </w:tc>
      </w:tr>
      <w:tr>
        <w:tc>
          <w:tcPr>
            <w:tcW w:type="dxa" w:w="11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rFonts w:ascii="Consolas" w:cs="Consolas" w:eastAsia="Consolas" w:hAnsi="Consolas"/>
                <w:sz w:val="17"/>
                <w:szCs w:val="17"/>
              </w:rPr>
              <w:t xml:space="preserve">—</w:t>
            </w:r>
          </w:p>
        </w:tc>
        <w:tc>
          <w:tcPr>
            <w:tcW w:type="dxa" w:w="26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rFonts w:ascii="Consolas" w:cs="Consolas" w:eastAsia="Consolas" w:hAnsi="Consolas"/>
                <w:sz w:val="17"/>
                <w:szCs w:val="17"/>
              </w:rPr>
              <w:t xml:space="preserve">category / project / reporting_period</w:t>
            </w:r>
          </w:p>
        </w:tc>
        <w:tc>
          <w:tcPr>
            <w:tcW w:type="dxa" w:w="53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b w:val="false"/>
                <w:bCs w:val="false"/>
                <w:sz w:val="18"/>
                <w:szCs w:val="18"/>
              </w:rPr>
              <w:t xml:space="preserve">Reference data, seeded once. Process 1.0 reads it to resolve the project and the period.</w:t>
            </w:r>
          </w:p>
        </w:tc>
      </w:tr>
    </w:tbl>
    <w:p>
      <w:r>
        <w:br w:type="page"/>
      </w:r>
    </w:p>
    <w:p>
      <w:pPr>
        <w:pStyle w:val="Heading1"/>
        <w:spacing w:after="140" w:before="340"/>
      </w:pPr>
      <w:r>
        <w:rPr>
          <w:b/>
          <w:bCs/>
          <w:color w:val="0D1B3E"/>
          <w:sz w:val="28"/>
          <w:szCs w:val="28"/>
        </w:rPr>
        <w:t xml:space="preserve">3.  Process specifications</w:t>
      </w:r>
    </w:p>
    <w:p>
      <w:pPr>
        <w:pStyle w:val="Heading3"/>
        <w:spacing w:after="80" w:before="200"/>
      </w:pPr>
      <w:r>
        <w:rPr>
          <w:b/>
          <w:bCs/>
          <w:color w:val="0D1B3E"/>
          <w:sz w:val="21"/>
          <w:szCs w:val="21"/>
        </w:rPr>
        <w:t xml:space="preserve">1.0  Receive and hash</w:t>
      </w:r>
    </w:p>
    <w:p>
      <w:pPr>
        <w:spacing w:after="120"/>
        <w:ind w:left="360" w:hanging="180"/>
      </w:pPr>
      <w:r>
        <w:rPr>
          <w:sz w:val="21"/>
          <w:szCs w:val="21"/>
        </w:rPr>
        <w:t xml:space="preserve">•  </w:t>
      </w:r>
      <w:r>
        <w:rPr>
          <w:b/>
          <w:bCs/>
          <w:sz w:val="21"/>
          <w:szCs w:val="21"/>
        </w:rPr>
        <w:t xml:space="preserve">In: </w:t>
      </w:r>
      <w:r>
        <w:rPr>
          <w:sz w:val="21"/>
          <w:szCs w:val="21"/>
        </w:rPr>
        <w:t xml:space="preserve">the workbook, the chosen track, project and period.</w:t>
      </w:r>
    </w:p>
    <w:p>
      <w:pPr>
        <w:spacing w:after="120"/>
        <w:ind w:left="360" w:hanging="180"/>
      </w:pPr>
      <w:r>
        <w:rPr>
          <w:sz w:val="21"/>
          <w:szCs w:val="21"/>
        </w:rPr>
        <w:t xml:space="preserve">•  </w:t>
      </w:r>
      <w:r>
        <w:rPr>
          <w:b/>
          <w:bCs/>
          <w:sz w:val="21"/>
          <w:szCs w:val="21"/>
        </w:rPr>
        <w:t xml:space="preserve">Does: </w:t>
      </w:r>
      <w:r>
        <w:rPr>
          <w:sz w:val="21"/>
          <w:szCs w:val="21"/>
        </w:rPr>
        <w:t xml:space="preserve">writes the file to storage/uploads/&lt;project&gt;/&lt;period&gt;/ with a timestamped name; takes its SHA-256; refuses the upload if the identical bytes are already loaded for that project and period, unless 'load anyway' is ticked. Reads the period out of the file name — 'Cycle 3 (April-June)', 'Apr-May26', 'July -Sep 2025' are all understood — and offers it as an editable default, so a misread name never silently mislabels data.</w:t>
      </w:r>
    </w:p>
    <w:p>
      <w:pPr>
        <w:spacing w:after="200"/>
        <w:ind w:left="360" w:hanging="180"/>
      </w:pPr>
      <w:r>
        <w:rPr>
          <w:sz w:val="21"/>
          <w:szCs w:val="21"/>
        </w:rPr>
        <w:t xml:space="preserve">•  </w:t>
      </w:r>
      <w:r>
        <w:rPr>
          <w:b/>
          <w:bCs/>
          <w:sz w:val="21"/>
          <w:szCs w:val="21"/>
        </w:rPr>
        <w:t xml:space="preserve">Out: </w:t>
      </w:r>
      <w:r>
        <w:rPr>
          <w:sz w:val="21"/>
          <w:szCs w:val="21"/>
        </w:rPr>
        <w:t xml:space="preserve">D1 the file, D4 a new upload_batch row with stage = pending_vertical.</w:t>
      </w:r>
    </w:p>
    <w:p>
      <w:pPr>
        <w:pStyle w:val="Heading3"/>
        <w:spacing w:after="80" w:before="200"/>
      </w:pPr>
      <w:r>
        <w:rPr>
          <w:b/>
          <w:bCs/>
          <w:color w:val="0D1B3E"/>
          <w:sz w:val="21"/>
          <w:szCs w:val="21"/>
        </w:rPr>
        <w:t xml:space="preserve">2.0  Parse workbook</w:t>
      </w:r>
    </w:p>
    <w:p>
      <w:pPr>
        <w:spacing w:after="120"/>
        <w:ind w:left="360" w:hanging="180"/>
      </w:pPr>
      <w:r>
        <w:rPr>
          <w:sz w:val="21"/>
          <w:szCs w:val="21"/>
        </w:rPr>
        <w:t xml:space="preserve">•  </w:t>
      </w:r>
      <w:r>
        <w:rPr>
          <w:b/>
          <w:bCs/>
          <w:sz w:val="21"/>
          <w:szCs w:val="21"/>
        </w:rPr>
        <w:t xml:space="preserve">In: </w:t>
      </w:r>
      <w:r>
        <w:rPr>
          <w:sz w:val="21"/>
          <w:szCs w:val="21"/>
        </w:rPr>
        <w:t xml:space="preserve">the stored file.</w:t>
      </w:r>
    </w:p>
    <w:p>
      <w:pPr>
        <w:spacing w:after="120"/>
        <w:ind w:left="360" w:hanging="180"/>
      </w:pPr>
      <w:r>
        <w:rPr>
          <w:sz w:val="21"/>
          <w:szCs w:val="21"/>
        </w:rPr>
        <w:t xml:space="preserve">•  </w:t>
      </w:r>
      <w:r>
        <w:rPr>
          <w:b/>
          <w:bCs/>
          <w:sz w:val="21"/>
          <w:szCs w:val="21"/>
        </w:rPr>
        <w:t xml:space="preserve">Does: </w:t>
      </w:r>
      <w:r>
        <w:rPr>
          <w:sz w:val="21"/>
          <w:szCs w:val="21"/>
        </w:rPr>
        <w:t xml:space="preserve">opens each worksheet and looks for the header row, which sits on row 1, 3 or 5 depending on the project. A sheet is only treated as a data collection sheet if it carries enough recognised columns and an anchor column. Each heading is then matched to one fixed column; the two Services SLA pairs are told apart by position.</w:t>
      </w:r>
    </w:p>
    <w:p>
      <w:pPr>
        <w:spacing w:after="200"/>
        <w:ind w:left="360" w:hanging="180"/>
      </w:pPr>
      <w:r>
        <w:rPr>
          <w:sz w:val="21"/>
          <w:szCs w:val="21"/>
        </w:rPr>
        <w:t xml:space="preserve">•  </w:t>
      </w:r>
      <w:r>
        <w:rPr>
          <w:b/>
          <w:bCs/>
          <w:sz w:val="21"/>
          <w:szCs w:val="21"/>
        </w:rPr>
        <w:t xml:space="preserve">Out: </w:t>
      </w:r>
      <w:r>
        <w:rPr>
          <w:sz w:val="21"/>
          <w:szCs w:val="21"/>
        </w:rPr>
        <w:t xml:space="preserve">D2 one sheet_tab row per worksheet — including the skipped ones, with the reason recorded.</w:t>
      </w:r>
    </w:p>
    <w:p>
      <w:pPr>
        <w:pStyle w:val="Heading3"/>
        <w:spacing w:after="80" w:before="200"/>
      </w:pPr>
      <w:r>
        <w:rPr>
          <w:b/>
          <w:bCs/>
          <w:color w:val="0D1B3E"/>
          <w:sz w:val="21"/>
          <w:szCs w:val="21"/>
        </w:rPr>
        <w:t xml:space="preserve">3.0  Coerce and store rows</w:t>
      </w:r>
    </w:p>
    <w:p>
      <w:pPr>
        <w:spacing w:after="120"/>
        <w:ind w:left="360" w:hanging="180"/>
      </w:pPr>
      <w:r>
        <w:rPr>
          <w:sz w:val="21"/>
          <w:szCs w:val="21"/>
        </w:rPr>
        <w:t xml:space="preserve">•  </w:t>
      </w:r>
      <w:r>
        <w:rPr>
          <w:b/>
          <w:bCs/>
          <w:sz w:val="21"/>
          <w:szCs w:val="21"/>
        </w:rPr>
        <w:t xml:space="preserve">In: </w:t>
      </w:r>
      <w:r>
        <w:rPr>
          <w:sz w:val="21"/>
          <w:szCs w:val="21"/>
        </w:rPr>
        <w:t xml:space="preserve">the parsed rows and the column mapping.</w:t>
      </w:r>
    </w:p>
    <w:p>
      <w:pPr>
        <w:spacing w:after="120"/>
        <w:ind w:left="360" w:hanging="180"/>
      </w:pPr>
      <w:r>
        <w:rPr>
          <w:sz w:val="21"/>
          <w:szCs w:val="21"/>
        </w:rPr>
        <w:t xml:space="preserve">•  </w:t>
      </w:r>
      <w:r>
        <w:rPr>
          <w:b/>
          <w:bCs/>
          <w:sz w:val="21"/>
          <w:szCs w:val="21"/>
        </w:rPr>
        <w:t xml:space="preserve">Does: </w:t>
      </w:r>
      <w:r>
        <w:rPr>
          <w:sz w:val="21"/>
          <w:szCs w:val="21"/>
        </w:rPr>
        <w:t xml:space="preserve">converts each cell to the column's type. Dates are the hard part: a date typed into a cell Excel is treating as text stays text, and the teams write them several ways, so the parser carries thirty date formats, day first throughout. An unreadable date is stored NULL, which looks exactly like an empty cell — scripts/scan_dates.py exists to make that difference visible. Headings the catalogue does not know go to extra_columns as JSON.</w:t>
      </w:r>
    </w:p>
    <w:p>
      <w:pPr>
        <w:spacing w:after="200"/>
        <w:ind w:left="360" w:hanging="180"/>
      </w:pPr>
      <w:r>
        <w:rPr>
          <w:sz w:val="21"/>
          <w:szCs w:val="21"/>
        </w:rPr>
        <w:t xml:space="preserve">•  </w:t>
      </w:r>
      <w:r>
        <w:rPr>
          <w:b/>
          <w:bCs/>
          <w:sz w:val="21"/>
          <w:szCs w:val="21"/>
        </w:rPr>
        <w:t xml:space="preserve">Out: </w:t>
      </w:r>
      <w:r>
        <w:rPr>
          <w:sz w:val="21"/>
          <w:szCs w:val="21"/>
        </w:rPr>
        <w:t xml:space="preserve">D3 one record row per spreadsheet row, carrying its provenance.</w:t>
      </w:r>
    </w:p>
    <w:p>
      <w:pPr>
        <w:pStyle w:val="Heading3"/>
        <w:spacing w:after="80" w:before="200"/>
      </w:pPr>
      <w:r>
        <w:rPr>
          <w:b/>
          <w:bCs/>
          <w:color w:val="0D1B3E"/>
          <w:sz w:val="21"/>
          <w:szCs w:val="21"/>
        </w:rPr>
        <w:t xml:space="preserve">4.0  Approve</w:t>
      </w:r>
    </w:p>
    <w:p>
      <w:pPr>
        <w:spacing w:after="120"/>
        <w:ind w:left="360" w:hanging="180"/>
      </w:pPr>
      <w:r>
        <w:rPr>
          <w:sz w:val="21"/>
          <w:szCs w:val="21"/>
        </w:rPr>
        <w:t xml:space="preserve">•  </w:t>
      </w:r>
      <w:r>
        <w:rPr>
          <w:b/>
          <w:bCs/>
          <w:sz w:val="21"/>
          <w:szCs w:val="21"/>
        </w:rPr>
        <w:t xml:space="preserve">In: </w:t>
      </w:r>
      <w:r>
        <w:rPr>
          <w:sz w:val="21"/>
          <w:szCs w:val="21"/>
        </w:rPr>
        <w:t xml:space="preserve">an approver's decision and an optional note.</w:t>
      </w:r>
    </w:p>
    <w:p>
      <w:pPr>
        <w:spacing w:after="120"/>
        <w:ind w:left="360" w:hanging="180"/>
      </w:pPr>
      <w:r>
        <w:rPr>
          <w:sz w:val="21"/>
          <w:szCs w:val="21"/>
        </w:rPr>
        <w:t xml:space="preserve">•  </w:t>
      </w:r>
      <w:r>
        <w:rPr>
          <w:b/>
          <w:bCs/>
          <w:sz w:val="21"/>
          <w:szCs w:val="21"/>
        </w:rPr>
        <w:t xml:space="preserve">Does: </w:t>
      </w:r>
      <w:r>
        <w:rPr>
          <w:sz w:val="21"/>
          <w:szCs w:val="21"/>
        </w:rPr>
        <w:t xml:space="preserve">checks the person's role matches the stage the sheet is waiting at, and that a vertical head covers that project. Records the sign-off against that stage and advances the sheet. A rejection records who, at which stage, and why. A sheet reaching approved marks any earlier sheet for the same project and period superseded.</w:t>
      </w:r>
    </w:p>
    <w:p>
      <w:pPr>
        <w:spacing w:after="200"/>
        <w:ind w:left="360" w:hanging="180"/>
      </w:pPr>
      <w:r>
        <w:rPr>
          <w:sz w:val="21"/>
          <w:szCs w:val="21"/>
        </w:rPr>
        <w:t xml:space="preserve">•  </w:t>
      </w:r>
      <w:r>
        <w:rPr>
          <w:b/>
          <w:bCs/>
          <w:sz w:val="21"/>
          <w:szCs w:val="21"/>
        </w:rPr>
        <w:t xml:space="preserve">Out: </w:t>
      </w:r>
      <w:r>
        <w:rPr>
          <w:sz w:val="21"/>
          <w:szCs w:val="21"/>
        </w:rPr>
        <w:t xml:space="preserve">D4 the stage, the approver, the timestamp and the note.</w:t>
      </w:r>
    </w:p>
    <w:p>
      <w:pPr>
        <w:pStyle w:val="Heading3"/>
        <w:spacing w:after="80" w:before="200"/>
      </w:pPr>
      <w:r>
        <w:rPr>
          <w:b/>
          <w:bCs/>
          <w:color w:val="0D1B3E"/>
          <w:sz w:val="21"/>
          <w:szCs w:val="21"/>
        </w:rPr>
        <w:t xml:space="preserve">5.0  Browse and export</w:t>
      </w:r>
    </w:p>
    <w:p>
      <w:pPr>
        <w:spacing w:after="120"/>
        <w:ind w:left="360" w:hanging="180"/>
      </w:pPr>
      <w:r>
        <w:rPr>
          <w:sz w:val="21"/>
          <w:szCs w:val="21"/>
        </w:rPr>
        <w:t xml:space="preserve">•  </w:t>
      </w:r>
      <w:r>
        <w:rPr>
          <w:b/>
          <w:bCs/>
          <w:sz w:val="21"/>
          <w:szCs w:val="21"/>
        </w:rPr>
        <w:t xml:space="preserve">In: </w:t>
      </w:r>
      <w:r>
        <w:rPr>
          <w:sz w:val="21"/>
          <w:szCs w:val="21"/>
        </w:rPr>
        <w:t xml:space="preserve">the viewer's filters — track, project, period.</w:t>
      </w:r>
    </w:p>
    <w:p>
      <w:pPr>
        <w:spacing w:after="120"/>
        <w:ind w:left="360" w:hanging="180"/>
      </w:pPr>
      <w:r>
        <w:rPr>
          <w:sz w:val="21"/>
          <w:szCs w:val="21"/>
        </w:rPr>
        <w:t xml:space="preserve">•  </w:t>
      </w:r>
      <w:r>
        <w:rPr>
          <w:b/>
          <w:bCs/>
          <w:sz w:val="21"/>
          <w:szCs w:val="21"/>
        </w:rPr>
        <w:t xml:space="preserve">Does: </w:t>
      </w:r>
      <w:r>
        <w:rPr>
          <w:sz w:val="21"/>
          <w:szCs w:val="21"/>
        </w:rPr>
        <w:t xml:space="preserve">reads D3 joined to D4 and keeps only rows whose batch is approved. Shows only columns that actually hold data for the current selection, because a 43-column table is unreadable when half of it is empty.</w:t>
      </w:r>
    </w:p>
    <w:p>
      <w:pPr>
        <w:spacing w:after="200"/>
        <w:ind w:left="360" w:hanging="180"/>
      </w:pPr>
      <w:r>
        <w:rPr>
          <w:sz w:val="21"/>
          <w:szCs w:val="21"/>
        </w:rPr>
        <w:t xml:space="preserve">•  </w:t>
      </w:r>
      <w:r>
        <w:rPr>
          <w:b/>
          <w:bCs/>
          <w:sz w:val="21"/>
          <w:szCs w:val="21"/>
        </w:rPr>
        <w:t xml:space="preserve">Out: </w:t>
      </w:r>
      <w:r>
        <w:rPr>
          <w:sz w:val="21"/>
          <w:szCs w:val="21"/>
        </w:rPr>
        <w:t xml:space="preserve">the table on screen, and the same rows as a flat CSV.</w:t>
      </w:r>
    </w:p>
    <w:p>
      <w:r>
        <w:br w:type="page"/>
      </w:r>
    </w:p>
    <w:p>
      <w:pPr>
        <w:pStyle w:val="Heading1"/>
        <w:spacing w:after="140" w:before="340"/>
      </w:pPr>
      <w:r>
        <w:rPr>
          <w:b/>
          <w:bCs/>
          <w:color w:val="0D1B3E"/>
          <w:sz w:val="28"/>
          <w:szCs w:val="28"/>
        </w:rPr>
        <w:t xml:space="preserve">4.  The approval chain</w:t>
      </w:r>
    </w:p>
    <w:p>
      <w:pPr>
        <w:spacing w:after="140"/>
      </w:pPr>
      <w:r>
        <w:rPr>
          <w:sz w:val="21"/>
          <w:szCs w:val="21"/>
        </w:rPr>
        <w:t xml:space="preserve">One stage column on upload_batch moves through four values. Each stage belongs to exactly one role, so no one can sign twice — an administrator cannot also give the vertical head's approval and thereby sign off a sheet alone.</w:t>
      </w:r>
    </w:p>
    <w:p>
      <w:pPr>
        <w:spacing w:after="80" w:before="160"/>
        <w:jc w:val="center"/>
      </w:pPr>
      <w:r>
        <w:drawing>
          <wp:inline distT="0" distB="0" distL="0" distR="0">
            <wp:extent cx="5715000" cy="19526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52625"/>
                    </a:xfrm>
                    <a:prstGeom prst="rect">
                      <a:avLst/>
                    </a:prstGeom>
                  </pic:spPr>
                </pic:pic>
              </a:graphicData>
            </a:graphic>
          </wp:inline>
        </w:drawing>
      </w:r>
    </w:p>
    <w:p>
      <w:pPr>
        <w:spacing w:after="280"/>
      </w:pPr>
      <w:r>
        <w:rPr>
          <w:b/>
          <w:bCs/>
          <w:color w:val="0D1B3E"/>
          <w:sz w:val="18"/>
          <w:szCs w:val="18"/>
        </w:rPr>
        <w:t xml:space="preserve">Figure 3. </w:t>
      </w:r>
      <w:r>
        <w:rPr>
          <w:i/>
          <w:iCs/>
          <w:color w:val="616B80"/>
          <w:sz w:val="18"/>
          <w:szCs w:val="18"/>
        </w:rPr>
        <w:t xml:space="preserve">There is no path back from rejected. A turned-down sheet is corrected outside the system and uploaded again as a new batch, which is why the rejection reason is kept on the old row rather than cleared.</w:t>
      </w:r>
    </w:p>
    <w:p>
      <w:pPr>
        <w:pStyle w:val="Heading2"/>
        <w:spacing w:after="100" w:before="260"/>
      </w:pPr>
      <w:r>
        <w:rPr>
          <w:b/>
          <w:bCs/>
          <w:color w:val="0D1B3E"/>
          <w:sz w:val="23"/>
          <w:szCs w:val="23"/>
        </w:rPr>
        <w:t xml:space="preserve">What each role may 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tcW w:type="dxa" w:w="2300"/>
            <w:shd w:fill="0D1B3E" w:val="clear"/>
            <w:tcMar>
              <w:top w:type="dxa" w:w="90"/>
              <w:left w:type="dxa" w:w="110"/>
              <w:bottom w:type="dxa" w:w="90"/>
              <w:right w:type="dxa" w:w="110"/>
            </w:tcMar>
          </w:tcPr>
          <w:p>
            <w:pPr>
              <w:jc w:val="left"/>
            </w:pPr>
            <w:r>
              <w:rPr>
                <w:b/>
                <w:bCs/>
                <w:color w:val="FFFFFF"/>
                <w:sz w:val="16"/>
                <w:szCs w:val="16"/>
              </w:rPr>
              <w:t xml:space="preserve">ROLE</w:t>
            </w:r>
          </w:p>
        </w:tc>
        <w:tc>
          <w:tcPr>
            <w:tcW w:type="dxa" w:w="6700"/>
            <w:shd w:fill="0D1B3E" w:val="clear"/>
            <w:tcMar>
              <w:top w:type="dxa" w:w="90"/>
              <w:left w:type="dxa" w:w="110"/>
              <w:bottom w:type="dxa" w:w="90"/>
              <w:right w:type="dxa" w:w="110"/>
            </w:tcMar>
          </w:tcPr>
          <w:p>
            <w:pPr>
              <w:jc w:val="left"/>
            </w:pPr>
            <w:r>
              <w:rPr>
                <w:b/>
                <w:bCs/>
                <w:color w:val="FFFFFF"/>
                <w:sz w:val="16"/>
                <w:szCs w:val="16"/>
              </w:rPr>
              <w:t xml:space="preserve">MAY</w:t>
            </w:r>
          </w:p>
        </w:tc>
      </w:tr>
      <w:tr>
        <w:tc>
          <w:tcPr>
            <w:tcW w:type="dxa" w:w="23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b/>
                <w:bCs/>
                <w:sz w:val="18"/>
                <w:szCs w:val="18"/>
              </w:rPr>
              <w:t xml:space="preserve">Uploader</w:t>
            </w:r>
          </w:p>
        </w:tc>
        <w:tc>
          <w:tcPr>
            <w:tcW w:type="dxa" w:w="67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b w:val="false"/>
                <w:bCs w:val="false"/>
                <w:sz w:val="18"/>
                <w:szCs w:val="18"/>
              </w:rPr>
              <w:t xml:space="preserve">Upload sheets. Cannot approve or delete. Sees their own uploads.</w:t>
            </w:r>
          </w:p>
        </w:tc>
      </w:tr>
      <w:tr>
        <w:tc>
          <w:tcPr>
            <w:tcW w:type="dxa" w:w="2300"/>
            <w:tcBorders>
              <w:top w:val="single" w:color="DDE1E9" w:sz="2"/>
              <w:left w:val="single" w:color="DDE1E9" w:sz="2"/>
              <w:bottom w:val="single" w:color="DDE1E9" w:sz="2"/>
              <w:right w:val="single" w:color="DDE1E9" w:sz="2"/>
            </w:tcBorders>
            <w:shd w:fill="F4F6FA" w:val="clear"/>
            <w:tcMar>
              <w:top w:type="dxa" w:w="70"/>
              <w:left w:type="dxa" w:w="110"/>
              <w:bottom w:type="dxa" w:w="70"/>
              <w:right w:type="dxa" w:w="110"/>
            </w:tcMar>
          </w:tcPr>
          <w:p>
            <w:pPr>
              <w:jc w:val="left"/>
            </w:pPr>
            <w:r>
              <w:rPr>
                <w:b/>
                <w:bCs/>
                <w:sz w:val="18"/>
                <w:szCs w:val="18"/>
              </w:rPr>
              <w:t xml:space="preserve">Vertical Head</w:t>
            </w:r>
          </w:p>
        </w:tc>
        <w:tc>
          <w:tcPr>
            <w:tcW w:type="dxa" w:w="6700"/>
            <w:tcBorders>
              <w:top w:val="single" w:color="DDE1E9" w:sz="2"/>
              <w:left w:val="single" w:color="DDE1E9" w:sz="2"/>
              <w:bottom w:val="single" w:color="DDE1E9" w:sz="2"/>
              <w:right w:val="single" w:color="DDE1E9" w:sz="2"/>
            </w:tcBorders>
            <w:shd w:fill="F4F6FA" w:val="clear"/>
            <w:tcMar>
              <w:top w:type="dxa" w:w="70"/>
              <w:left w:type="dxa" w:w="110"/>
              <w:bottom w:type="dxa" w:w="70"/>
              <w:right w:type="dxa" w:w="110"/>
            </w:tcMar>
          </w:tcPr>
          <w:p>
            <w:pPr>
              <w:jc w:val="left"/>
            </w:pPr>
            <w:r>
              <w:rPr>
                <w:b w:val="false"/>
                <w:bCs w:val="false"/>
                <w:sz w:val="18"/>
                <w:szCs w:val="18"/>
              </w:rPr>
              <w:t xml:space="preserve">First approval, for the projects assigned to them only. A head with no assignment covers none — access is granted deliberately rather than by omission.</w:t>
            </w:r>
          </w:p>
        </w:tc>
      </w:tr>
      <w:tr>
        <w:tc>
          <w:tcPr>
            <w:tcW w:type="dxa" w:w="23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b/>
                <w:bCs/>
                <w:sz w:val="18"/>
                <w:szCs w:val="18"/>
              </w:rPr>
              <w:t xml:space="preserve">Administrator</w:t>
            </w:r>
          </w:p>
        </w:tc>
        <w:tc>
          <w:tcPr>
            <w:tcW w:type="dxa" w:w="67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b w:val="false"/>
                <w:bCs w:val="false"/>
                <w:sz w:val="18"/>
                <w:szCs w:val="18"/>
              </w:rPr>
              <w:t xml:space="preserve">First approval for any project, manages sign-ins, and the only role that can delete.</w:t>
            </w:r>
          </w:p>
        </w:tc>
      </w:tr>
      <w:tr>
        <w:tc>
          <w:tcPr>
            <w:tcW w:type="dxa" w:w="2300"/>
            <w:tcBorders>
              <w:top w:val="single" w:color="DDE1E9" w:sz="2"/>
              <w:left w:val="single" w:color="DDE1E9" w:sz="2"/>
              <w:bottom w:val="single" w:color="DDE1E9" w:sz="2"/>
              <w:right w:val="single" w:color="DDE1E9" w:sz="2"/>
            </w:tcBorders>
            <w:shd w:fill="F4F6FA" w:val="clear"/>
            <w:tcMar>
              <w:top w:type="dxa" w:w="70"/>
              <w:left w:type="dxa" w:w="110"/>
              <w:bottom w:type="dxa" w:w="70"/>
              <w:right w:type="dxa" w:w="110"/>
            </w:tcMar>
          </w:tcPr>
          <w:p>
            <w:pPr>
              <w:jc w:val="left"/>
            </w:pPr>
            <w:r>
              <w:rPr>
                <w:b/>
                <w:bCs/>
                <w:sz w:val="18"/>
                <w:szCs w:val="18"/>
              </w:rPr>
              <w:t xml:space="preserve">CTO</w:t>
            </w:r>
          </w:p>
        </w:tc>
        <w:tc>
          <w:tcPr>
            <w:tcW w:type="dxa" w:w="6700"/>
            <w:tcBorders>
              <w:top w:val="single" w:color="DDE1E9" w:sz="2"/>
              <w:left w:val="single" w:color="DDE1E9" w:sz="2"/>
              <w:bottom w:val="single" w:color="DDE1E9" w:sz="2"/>
              <w:right w:val="single" w:color="DDE1E9" w:sz="2"/>
            </w:tcBorders>
            <w:shd w:fill="F4F6FA" w:val="clear"/>
            <w:tcMar>
              <w:top w:type="dxa" w:w="70"/>
              <w:left w:type="dxa" w:w="110"/>
              <w:bottom w:type="dxa" w:w="70"/>
              <w:right w:type="dxa" w:w="110"/>
            </w:tcMar>
          </w:tcPr>
          <w:p>
            <w:pPr>
              <w:jc w:val="left"/>
            </w:pPr>
            <w:r>
              <w:rPr>
                <w:b w:val="false"/>
                <w:bCs w:val="false"/>
                <w:sz w:val="18"/>
                <w:szCs w:val="18"/>
              </w:rPr>
              <w:t xml:space="preserve">Final approval across all projects. Senior, but cannot delete.</w:t>
            </w:r>
          </w:p>
        </w:tc>
      </w:tr>
    </w:tbl>
    <w:p>
      <w:pPr>
        <w:pStyle w:val="Heading2"/>
        <w:spacing w:after="100" w:before="260"/>
      </w:pPr>
      <w:r>
        <w:rPr>
          <w:b/>
          <w:bCs/>
          <w:color w:val="0D1B3E"/>
          <w:sz w:val="23"/>
          <w:szCs w:val="23"/>
        </w:rPr>
        <w:t xml:space="preserve">Stage 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shd w:fill="0D1B3E" w:val="clear"/>
            <w:tcMar>
              <w:top w:type="dxa" w:w="90"/>
              <w:left w:type="dxa" w:w="110"/>
              <w:bottom w:type="dxa" w:w="90"/>
              <w:right w:type="dxa" w:w="110"/>
            </w:tcMar>
          </w:tcPr>
          <w:p>
            <w:pPr>
              <w:jc w:val="left"/>
            </w:pPr>
            <w:r>
              <w:rPr>
                <w:b/>
                <w:bCs/>
                <w:color w:val="FFFFFF"/>
                <w:sz w:val="16"/>
                <w:szCs w:val="16"/>
              </w:rPr>
              <w:t xml:space="preserve">STAGE</w:t>
            </w:r>
          </w:p>
        </w:tc>
        <w:tc>
          <w:tcPr>
            <w:tcW w:type="dxa" w:w="2400"/>
            <w:shd w:fill="0D1B3E" w:val="clear"/>
            <w:tcMar>
              <w:top w:type="dxa" w:w="90"/>
              <w:left w:type="dxa" w:w="110"/>
              <w:bottom w:type="dxa" w:w="90"/>
              <w:right w:type="dxa" w:w="110"/>
            </w:tcMar>
          </w:tcPr>
          <w:p>
            <w:pPr>
              <w:jc w:val="left"/>
            </w:pPr>
            <w:r>
              <w:rPr>
                <w:b/>
                <w:bCs/>
                <w:color w:val="FFFFFF"/>
                <w:sz w:val="16"/>
                <w:szCs w:val="16"/>
              </w:rPr>
              <w:t xml:space="preserve">WAITING ON</w:t>
            </w:r>
          </w:p>
        </w:tc>
        <w:tc>
          <w:tcPr>
            <w:tcW w:type="dxa" w:w="4000"/>
            <w:shd w:fill="0D1B3E" w:val="clear"/>
            <w:tcMar>
              <w:top w:type="dxa" w:w="90"/>
              <w:left w:type="dxa" w:w="110"/>
              <w:bottom w:type="dxa" w:w="90"/>
              <w:right w:type="dxa" w:w="110"/>
            </w:tcMar>
          </w:tcPr>
          <w:p>
            <w:pPr>
              <w:jc w:val="left"/>
            </w:pPr>
            <w:r>
              <w:rPr>
                <w:b/>
                <w:bCs/>
                <w:color w:val="FFFFFF"/>
                <w:sz w:val="16"/>
                <w:szCs w:val="16"/>
              </w:rPr>
              <w:t xml:space="preserve">MEANS</w:t>
            </w:r>
          </w:p>
        </w:tc>
      </w:tr>
      <w:tr>
        <w:tc>
          <w:tcPr>
            <w:tcW w:type="dxa" w:w="26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rFonts w:ascii="Consolas" w:cs="Consolas" w:eastAsia="Consolas" w:hAnsi="Consolas"/>
                <w:sz w:val="17"/>
                <w:szCs w:val="17"/>
              </w:rPr>
              <w:t xml:space="preserve">pending_vertical</w:t>
            </w:r>
          </w:p>
        </w:tc>
        <w:tc>
          <w:tcPr>
            <w:tcW w:type="dxa" w:w="24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b w:val="false"/>
                <w:bCs w:val="false"/>
                <w:sz w:val="18"/>
                <w:szCs w:val="18"/>
              </w:rPr>
              <w:t xml:space="preserve">Vertical Head</w:t>
            </w:r>
          </w:p>
        </w:tc>
        <w:tc>
          <w:tcPr>
            <w:tcW w:type="dxa" w:w="40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b w:val="false"/>
                <w:bCs w:val="false"/>
                <w:sz w:val="18"/>
                <w:szCs w:val="18"/>
              </w:rPr>
              <w:t xml:space="preserve">Set on upload. The sheet is parsed and its rows are stored, but not yet counted.</w:t>
            </w:r>
          </w:p>
        </w:tc>
      </w:tr>
      <w:tr>
        <w:tc>
          <w:tcPr>
            <w:tcW w:type="dxa" w:w="2600"/>
            <w:tcBorders>
              <w:top w:val="single" w:color="DDE1E9" w:sz="2"/>
              <w:left w:val="single" w:color="DDE1E9" w:sz="2"/>
              <w:bottom w:val="single" w:color="DDE1E9" w:sz="2"/>
              <w:right w:val="single" w:color="DDE1E9" w:sz="2"/>
            </w:tcBorders>
            <w:shd w:fill="F4F6FA" w:val="clear"/>
            <w:tcMar>
              <w:top w:type="dxa" w:w="70"/>
              <w:left w:type="dxa" w:w="110"/>
              <w:bottom w:type="dxa" w:w="70"/>
              <w:right w:type="dxa" w:w="110"/>
            </w:tcMar>
          </w:tcPr>
          <w:p>
            <w:pPr>
              <w:jc w:val="left"/>
            </w:pPr>
            <w:r>
              <w:rPr>
                <w:rFonts w:ascii="Consolas" w:cs="Consolas" w:eastAsia="Consolas" w:hAnsi="Consolas"/>
                <w:sz w:val="17"/>
                <w:szCs w:val="17"/>
              </w:rPr>
              <w:t xml:space="preserve">pending_admin</w:t>
            </w:r>
          </w:p>
        </w:tc>
        <w:tc>
          <w:tcPr>
            <w:tcW w:type="dxa" w:w="2400"/>
            <w:tcBorders>
              <w:top w:val="single" w:color="DDE1E9" w:sz="2"/>
              <w:left w:val="single" w:color="DDE1E9" w:sz="2"/>
              <w:bottom w:val="single" w:color="DDE1E9" w:sz="2"/>
              <w:right w:val="single" w:color="DDE1E9" w:sz="2"/>
            </w:tcBorders>
            <w:shd w:fill="F4F6FA" w:val="clear"/>
            <w:tcMar>
              <w:top w:type="dxa" w:w="70"/>
              <w:left w:type="dxa" w:w="110"/>
              <w:bottom w:type="dxa" w:w="70"/>
              <w:right w:type="dxa" w:w="110"/>
            </w:tcMar>
          </w:tcPr>
          <w:p>
            <w:pPr>
              <w:jc w:val="left"/>
            </w:pPr>
            <w:r>
              <w:rPr>
                <w:b w:val="false"/>
                <w:bCs w:val="false"/>
                <w:sz w:val="18"/>
                <w:szCs w:val="18"/>
              </w:rPr>
              <w:t xml:space="preserve">Administrator</w:t>
            </w:r>
          </w:p>
        </w:tc>
        <w:tc>
          <w:tcPr>
            <w:tcW w:type="dxa" w:w="4000"/>
            <w:tcBorders>
              <w:top w:val="single" w:color="DDE1E9" w:sz="2"/>
              <w:left w:val="single" w:color="DDE1E9" w:sz="2"/>
              <w:bottom w:val="single" w:color="DDE1E9" w:sz="2"/>
              <w:right w:val="single" w:color="DDE1E9" w:sz="2"/>
            </w:tcBorders>
            <w:shd w:fill="F4F6FA" w:val="clear"/>
            <w:tcMar>
              <w:top w:type="dxa" w:w="70"/>
              <w:left w:type="dxa" w:w="110"/>
              <w:bottom w:type="dxa" w:w="70"/>
              <w:right w:type="dxa" w:w="110"/>
            </w:tcMar>
          </w:tcPr>
          <w:p>
            <w:pPr>
              <w:jc w:val="left"/>
            </w:pPr>
            <w:r>
              <w:rPr>
                <w:b w:val="false"/>
                <w:bCs w:val="false"/>
                <w:sz w:val="18"/>
                <w:szCs w:val="18"/>
              </w:rPr>
              <w:t xml:space="preserve">The vertical head has signed.</w:t>
            </w:r>
          </w:p>
        </w:tc>
      </w:tr>
      <w:tr>
        <w:tc>
          <w:tcPr>
            <w:tcW w:type="dxa" w:w="26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rFonts w:ascii="Consolas" w:cs="Consolas" w:eastAsia="Consolas" w:hAnsi="Consolas"/>
                <w:sz w:val="17"/>
                <w:szCs w:val="17"/>
              </w:rPr>
              <w:t xml:space="preserve">pending_cto</w:t>
            </w:r>
          </w:p>
        </w:tc>
        <w:tc>
          <w:tcPr>
            <w:tcW w:type="dxa" w:w="24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b w:val="false"/>
                <w:bCs w:val="false"/>
                <w:sz w:val="18"/>
                <w:szCs w:val="18"/>
              </w:rPr>
              <w:t xml:space="preserve">CTO</w:t>
            </w:r>
          </w:p>
        </w:tc>
        <w:tc>
          <w:tcPr>
            <w:tcW w:type="dxa" w:w="40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b w:val="false"/>
                <w:bCs w:val="false"/>
                <w:sz w:val="18"/>
                <w:szCs w:val="18"/>
              </w:rPr>
              <w:t xml:space="preserve">The administrator has signed.</w:t>
            </w:r>
          </w:p>
        </w:tc>
      </w:tr>
      <w:tr>
        <w:tc>
          <w:tcPr>
            <w:tcW w:type="dxa" w:w="2600"/>
            <w:tcBorders>
              <w:top w:val="single" w:color="DDE1E9" w:sz="2"/>
              <w:left w:val="single" w:color="DDE1E9" w:sz="2"/>
              <w:bottom w:val="single" w:color="DDE1E9" w:sz="2"/>
              <w:right w:val="single" w:color="DDE1E9" w:sz="2"/>
            </w:tcBorders>
            <w:shd w:fill="F4F6FA" w:val="clear"/>
            <w:tcMar>
              <w:top w:type="dxa" w:w="70"/>
              <w:left w:type="dxa" w:w="110"/>
              <w:bottom w:type="dxa" w:w="70"/>
              <w:right w:type="dxa" w:w="110"/>
            </w:tcMar>
          </w:tcPr>
          <w:p>
            <w:pPr>
              <w:jc w:val="left"/>
            </w:pPr>
            <w:r>
              <w:rPr>
                <w:rFonts w:ascii="Consolas" w:cs="Consolas" w:eastAsia="Consolas" w:hAnsi="Consolas"/>
                <w:sz w:val="17"/>
                <w:szCs w:val="17"/>
              </w:rPr>
              <w:t xml:space="preserve">approved</w:t>
            </w:r>
          </w:p>
        </w:tc>
        <w:tc>
          <w:tcPr>
            <w:tcW w:type="dxa" w:w="2400"/>
            <w:tcBorders>
              <w:top w:val="single" w:color="DDE1E9" w:sz="2"/>
              <w:left w:val="single" w:color="DDE1E9" w:sz="2"/>
              <w:bottom w:val="single" w:color="DDE1E9" w:sz="2"/>
              <w:right w:val="single" w:color="DDE1E9" w:sz="2"/>
            </w:tcBorders>
            <w:shd w:fill="F4F6FA" w:val="clear"/>
            <w:tcMar>
              <w:top w:type="dxa" w:w="70"/>
              <w:left w:type="dxa" w:w="110"/>
              <w:bottom w:type="dxa" w:w="70"/>
              <w:right w:type="dxa" w:w="110"/>
            </w:tcMar>
          </w:tcPr>
          <w:p>
            <w:pPr>
              <w:jc w:val="left"/>
            </w:pPr>
            <w:r>
              <w:rPr>
                <w:b w:val="false"/>
                <w:bCs w:val="false"/>
                <w:sz w:val="18"/>
                <w:szCs w:val="18"/>
              </w:rPr>
              <w:t xml:space="preserve">—</w:t>
            </w:r>
          </w:p>
        </w:tc>
        <w:tc>
          <w:tcPr>
            <w:tcW w:type="dxa" w:w="4000"/>
            <w:tcBorders>
              <w:top w:val="single" w:color="DDE1E9" w:sz="2"/>
              <w:left w:val="single" w:color="DDE1E9" w:sz="2"/>
              <w:bottom w:val="single" w:color="DDE1E9" w:sz="2"/>
              <w:right w:val="single" w:color="DDE1E9" w:sz="2"/>
            </w:tcBorders>
            <w:shd w:fill="F4F6FA" w:val="clear"/>
            <w:tcMar>
              <w:top w:type="dxa" w:w="70"/>
              <w:left w:type="dxa" w:w="110"/>
              <w:bottom w:type="dxa" w:w="70"/>
              <w:right w:type="dxa" w:w="110"/>
            </w:tcMar>
          </w:tcPr>
          <w:p>
            <w:pPr>
              <w:jc w:val="left"/>
            </w:pPr>
            <w:r>
              <w:rPr>
                <w:b w:val="false"/>
                <w:bCs w:val="false"/>
                <w:sz w:val="18"/>
                <w:szCs w:val="18"/>
              </w:rPr>
              <w:t xml:space="preserve">Counts as data. Appears in browse and export. Supersedes the previous sheet for that project and period.</w:t>
            </w:r>
          </w:p>
        </w:tc>
      </w:tr>
      <w:tr>
        <w:tc>
          <w:tcPr>
            <w:tcW w:type="dxa" w:w="26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rFonts w:ascii="Consolas" w:cs="Consolas" w:eastAsia="Consolas" w:hAnsi="Consolas"/>
                <w:sz w:val="17"/>
                <w:szCs w:val="17"/>
              </w:rPr>
              <w:t xml:space="preserve">rejected</w:t>
            </w:r>
          </w:p>
        </w:tc>
        <w:tc>
          <w:tcPr>
            <w:tcW w:type="dxa" w:w="24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b w:val="false"/>
                <w:bCs w:val="false"/>
                <w:sz w:val="18"/>
                <w:szCs w:val="18"/>
              </w:rPr>
              <w:t xml:space="preserve">—</w:t>
            </w:r>
          </w:p>
        </w:tc>
        <w:tc>
          <w:tcPr>
            <w:tcW w:type="dxa" w:w="4000"/>
            <w:tcBorders>
              <w:top w:val="single" w:color="DDE1E9" w:sz="2"/>
              <w:left w:val="single" w:color="DDE1E9" w:sz="2"/>
              <w:bottom w:val="single" w:color="DDE1E9" w:sz="2"/>
              <w:right w:val="single" w:color="DDE1E9" w:sz="2"/>
            </w:tcBorders>
            <w:tcMar>
              <w:top w:type="dxa" w:w="70"/>
              <w:left w:type="dxa" w:w="110"/>
              <w:bottom w:type="dxa" w:w="70"/>
              <w:right w:type="dxa" w:w="110"/>
            </w:tcMar>
          </w:tcPr>
          <w:p>
            <w:pPr>
              <w:jc w:val="left"/>
            </w:pPr>
            <w:r>
              <w:rPr>
                <w:b w:val="false"/>
                <w:bCs w:val="false"/>
                <w:sz w:val="18"/>
                <w:szCs w:val="18"/>
              </w:rPr>
              <w:t xml:space="preserve">Turned down, with who, at which stage, and why. Terminal.</w:t>
            </w:r>
          </w:p>
        </w:tc>
      </w:tr>
    </w:tbl>
    <w:p>
      <w:pPr>
        <w:pStyle w:val="Heading1"/>
        <w:spacing w:after="140" w:before="340"/>
      </w:pPr>
      <w:r>
        <w:rPr>
          <w:b/>
          <w:bCs/>
          <w:color w:val="0D1B3E"/>
          <w:sz w:val="28"/>
          <w:szCs w:val="28"/>
        </w:rPr>
        <w:t xml:space="preserve">5.  Rules the diagrams encode</w:t>
      </w:r>
    </w:p>
    <w:p>
      <w:pPr>
        <w:spacing w:after="120"/>
        <w:ind w:left="360" w:hanging="180"/>
      </w:pPr>
      <w:r>
        <w:rPr>
          <w:sz w:val="21"/>
          <w:szCs w:val="21"/>
        </w:rPr>
        <w:t xml:space="preserve">•  </w:t>
      </w:r>
      <w:r>
        <w:rPr>
          <w:b/>
          <w:bCs/>
          <w:sz w:val="21"/>
          <w:szCs w:val="21"/>
        </w:rPr>
        <w:t xml:space="preserve">A repeat upload is refused. </w:t>
      </w:r>
      <w:r>
        <w:rPr>
          <w:sz w:val="21"/>
          <w:szCs w:val="21"/>
        </w:rPr>
        <w:t xml:space="preserve">The file is hashed on arrival; identical bytes already loaded for the same project and period are rejected unless the uploader ticks 'load anyway'. Any earlier load of the same bytes counts, including one that failed to parse — otherwise an unreadable file is silently re-added at every import.</w:t>
      </w:r>
    </w:p>
    <w:p>
      <w:pPr>
        <w:spacing w:after="120"/>
        <w:ind w:left="360" w:hanging="180"/>
      </w:pPr>
      <w:r>
        <w:rPr>
          <w:sz w:val="21"/>
          <w:szCs w:val="21"/>
        </w:rPr>
        <w:t xml:space="preserve">•  </w:t>
      </w:r>
      <w:r>
        <w:rPr>
          <w:b/>
          <w:bCs/>
          <w:sz w:val="21"/>
          <w:szCs w:val="21"/>
        </w:rPr>
        <w:t xml:space="preserve">A newer approved sheet supersedes the old one. </w:t>
      </w:r>
      <w:r>
        <w:rPr>
          <w:sz w:val="21"/>
          <w:szCs w:val="21"/>
        </w:rPr>
        <w:t xml:space="preserve">It is marked superseded rather than deleted, so the earlier figures stay auditable.</w:t>
      </w:r>
    </w:p>
    <w:p>
      <w:pPr>
        <w:spacing w:after="120"/>
        <w:ind w:left="360" w:hanging="180"/>
      </w:pPr>
      <w:r>
        <w:rPr>
          <w:sz w:val="21"/>
          <w:szCs w:val="21"/>
        </w:rPr>
        <w:t xml:space="preserve">•  </w:t>
      </w:r>
      <w:r>
        <w:rPr>
          <w:b/>
          <w:bCs/>
          <w:sz w:val="21"/>
          <w:szCs w:val="21"/>
        </w:rPr>
        <w:t xml:space="preserve">Nothing counts until the CTO signs. </w:t>
      </w:r>
      <w:r>
        <w:rPr>
          <w:sz w:val="21"/>
          <w:szCs w:val="21"/>
        </w:rPr>
        <w:t xml:space="preserve">Rows exist in the database from step 3, but every read path filters on the approval stage.</w:t>
      </w:r>
    </w:p>
    <w:p>
      <w:pPr>
        <w:spacing w:after="120"/>
        <w:ind w:left="360" w:hanging="180"/>
      </w:pPr>
      <w:r>
        <w:rPr>
          <w:sz w:val="21"/>
          <w:szCs w:val="21"/>
        </w:rPr>
        <w:t xml:space="preserve">•  </w:t>
      </w:r>
      <w:r>
        <w:rPr>
          <w:b/>
          <w:bCs/>
          <w:sz w:val="21"/>
          <w:szCs w:val="21"/>
        </w:rPr>
        <w:t xml:space="preserve">The trail is the record itself. </w:t>
      </w:r>
      <w:r>
        <w:rPr>
          <w:sz w:val="21"/>
          <w:szCs w:val="21"/>
        </w:rPr>
        <w:t xml:space="preserve">Each sign-off writes its approver and timestamp onto the upload row, and the Activity page reads them back out — one upload produces up to five dated events.</w:t>
      </w:r>
    </w:p>
    <w:p>
      <w:pPr>
        <w:pBdr>
          <w:top w:val="single" w:color="DDE1E9" w:sz="6" w:space="8"/>
        </w:pBdr>
        <w:spacing w:before="420"/>
      </w:pPr>
      <w:r>
        <w:rPr>
          <w:color w:val="616B80"/>
          <w:sz w:val="17"/>
          <w:szCs w:val="17"/>
        </w:rPr>
        <w:t xml:space="preserve">Drawn from app/models.py, app/ingest.py, app/metrics_catalog.py and app/main.py, with row counts and foreign keys read from the live MySQL schema on 9 October 2026. Source diagrams: docs/*.svg.</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df9af30eb6ad7fdba47fc31d674051e9a187888.png"/><Relationship Id="rId8" Type="http://schemas.openxmlformats.org/officeDocument/2006/relationships/image" Target="media/fda3da95146c18c3c65ac55f36f38634acb687b4.png"/><Relationship Id="rId9" Type="http://schemas.openxmlformats.org/officeDocument/2006/relationships/image" Target="media/84f12ff9a44b83eb0523cb9cb4df3f82cbe8924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CMMI Data Repository — Data Flow Diagrams</dc:title>
  <dc:creator>Rajkishore Kumar</dc:creator>
  <cp:lastModifiedBy>Un-named</cp:lastModifiedBy>
  <cp:revision>1</cp:revision>
  <dcterms:created xsi:type="dcterms:W3CDTF">2026-10-13T09:55:11.662Z</dcterms:created>
  <dcterms:modified xsi:type="dcterms:W3CDTF">2026-10-13T09:55:11.662Z</dcterms:modified>
</cp:coreProperties>
</file>

<file path=docProps/custom.xml><?xml version="1.0" encoding="utf-8"?>
<Properties xmlns="http://schemas.openxmlformats.org/officeDocument/2006/custom-properties" xmlns:vt="http://schemas.openxmlformats.org/officeDocument/2006/docPropsVTypes"/>
</file>