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0B61D">
      <w:pPr>
        <w:spacing w:after="60"/>
      </w:pPr>
      <w:r>
        <w:rPr>
          <w:b/>
          <w:bCs/>
          <w:color w:val="616B80"/>
          <w:spacing w:val="24"/>
          <w:sz w:val="16"/>
          <w:szCs w:val="16"/>
        </w:rPr>
        <w:t>CSC · CMMI ML 5.0 (DEVELOPMENT) AND ML 3.0 (SERVICES)</w:t>
      </w:r>
    </w:p>
    <w:p w14:paraId="549153CD">
      <w:pPr>
        <w:pBdr>
          <w:bottom w:val="single" w:color="0D1B3E" w:sz="12" w:space="6"/>
        </w:pBdr>
        <w:spacing w:after="100"/>
      </w:pPr>
      <w:r>
        <w:rPr>
          <w:b/>
          <w:bCs/>
          <w:color w:val="0D1B3E"/>
          <w:sz w:val="40"/>
          <w:szCs w:val="40"/>
        </w:rPr>
        <w:t>Entity Relationship Diagram</w:t>
      </w:r>
    </w:p>
    <w:p w14:paraId="0A0B88E5">
      <w:pPr>
        <w:spacing w:before="160" w:after="40"/>
      </w:pPr>
      <w:r>
        <w:rPr>
          <w:color w:val="616B80"/>
          <w:sz w:val="22"/>
          <w:szCs w:val="22"/>
        </w:rPr>
        <w:t>The eleven tables behind the CMMI data collection repository: what each one holds, every foreign key, and the column catalogue the sheets are mapped onto.</w:t>
      </w:r>
    </w:p>
    <w:p w14:paraId="303153A7">
      <w:pPr>
        <w:spacing w:after="240"/>
      </w:pPr>
      <w:r>
        <w:rPr>
          <w:i/>
          <w:iCs/>
          <w:color w:val="616B80"/>
          <w:sz w:val="18"/>
          <w:szCs w:val="18"/>
        </w:rPr>
        <w:t>Read from the live MySQL schema. Row counts as at 9 October 2026.</w:t>
      </w:r>
    </w:p>
    <w:p w14:paraId="19613B51">
      <w:pPr>
        <w:pStyle w:val="2"/>
        <w:spacing w:before="340" w:after="140"/>
      </w:pPr>
      <w:r>
        <w:rPr>
          <w:b/>
          <w:bCs/>
          <w:color w:val="0D1B3E"/>
          <w:sz w:val="28"/>
          <w:szCs w:val="28"/>
        </w:rPr>
        <w:t>1.  The schema at a glance</w:t>
      </w:r>
    </w:p>
    <w:p w14:paraId="167FFC4D">
      <w:pPr>
        <w:spacing w:after="140"/>
      </w:pPr>
      <w:r>
        <w:rPr>
          <w:sz w:val="21"/>
          <w:szCs w:val="21"/>
        </w:rPr>
        <w:t>Three reference tables are seeded once by scripts/init_db.py and change rarely. Everything to the right of them is written by an upload. The two record tables are separate because a Development row and a Services row describe different things — forcing them into one table would mean a column that is null for half the data.</w:t>
      </w:r>
    </w:p>
    <w:p w14:paraId="5EB68648">
      <w:pPr>
        <w:spacing w:before="160" w:after="80"/>
        <w:jc w:val="center"/>
      </w:pPr>
      <w:r>
        <w:drawing>
          <wp:inline distT="0" distB="0" distL="0" distR="0">
            <wp:extent cx="5715000" cy="4371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B340">
      <w:pPr>
        <w:spacing w:after="280"/>
      </w:pPr>
      <w:r>
        <w:rPr>
          <w:b/>
          <w:bCs/>
          <w:color w:val="0D1B3E"/>
          <w:sz w:val="18"/>
          <w:szCs w:val="18"/>
        </w:rPr>
        <w:t xml:space="preserve">Figure 1. </w:t>
      </w:r>
      <w:r>
        <w:rPr>
          <w:i/>
          <w:iCs/>
          <w:color w:val="616B80"/>
          <w:sz w:val="18"/>
          <w:szCs w:val="18"/>
        </w:rPr>
        <w:t>Both record tables carry project_id and period_id even though upload_batch already has them. That is deliberate denormalisation — it lets a modelling query group 30,739 service rows by period without a join.</w:t>
      </w:r>
    </w:p>
    <w:p w14:paraId="2465437A">
      <w:r>
        <w:br w:type="page"/>
      </w:r>
    </w:p>
    <w:p w14:paraId="3190017B">
      <w:pPr>
        <w:pStyle w:val="2"/>
        <w:spacing w:before="340" w:after="140"/>
      </w:pPr>
      <w:r>
        <w:rPr>
          <w:b/>
          <w:bCs/>
          <w:color w:val="0D1B3E"/>
          <w:sz w:val="28"/>
          <w:szCs w:val="28"/>
        </w:rPr>
        <w:t>2.  Tables</w:t>
      </w:r>
    </w:p>
    <w:p w14:paraId="15CF48C2">
      <w:pPr>
        <w:spacing w:after="200"/>
      </w:pPr>
      <w:r>
        <w:rPr>
          <w:sz w:val="21"/>
          <w:szCs w:val="21"/>
        </w:rPr>
        <w:t>Row counts taken from the running database. 'Written by' says what causes rows to appear.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800"/>
        <w:gridCol w:w="4400"/>
        <w:gridCol w:w="1300"/>
      </w:tblGrid>
      <w:tr w14:paraId="6E05C592">
        <w:trPr>
          <w:tblHeader/>
        </w:trPr>
        <w:tc>
          <w:tcPr>
            <w:tcW w:w="2500" w:type="dxa"/>
            <w:shd w:val="clear" w:color="auto" w:fill="0D1B3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3750BB"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800" w:type="dxa"/>
            <w:shd w:val="clear" w:color="auto" w:fill="0D1B3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0688E6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ROWS</w:t>
            </w:r>
          </w:p>
        </w:tc>
        <w:tc>
          <w:tcPr>
            <w:tcW w:w="4400" w:type="dxa"/>
            <w:shd w:val="clear" w:color="auto" w:fill="0D1B3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FD9B6A"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>HOLDS</w:t>
            </w:r>
          </w:p>
        </w:tc>
        <w:tc>
          <w:tcPr>
            <w:tcW w:w="1300" w:type="dxa"/>
            <w:shd w:val="clear" w:color="auto" w:fill="0D1B3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E6605D"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>WRITTEN BY</w:t>
            </w:r>
          </w:p>
        </w:tc>
      </w:tr>
      <w:tr w14:paraId="2B50C201">
        <w:tc>
          <w:tcPr>
            <w:tcW w:w="25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06F59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category</w:t>
            </w:r>
          </w:p>
        </w:tc>
        <w:tc>
          <w:tcPr>
            <w:tcW w:w="8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67B80">
            <w:pPr>
              <w:jc w:val="righ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7</w:t>
            </w:r>
          </w:p>
        </w:tc>
        <w:tc>
          <w:tcPr>
            <w:tcW w:w="44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04BA9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The two active tracks plus five further ML 3.0 views of the model</w:t>
            </w:r>
          </w:p>
        </w:tc>
        <w:tc>
          <w:tcPr>
            <w:tcW w:w="13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2E311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Seeded</w:t>
            </w:r>
          </w:p>
        </w:tc>
      </w:tr>
      <w:tr w14:paraId="6347F2D8">
        <w:tc>
          <w:tcPr>
            <w:tcW w:w="25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55EE9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project</w:t>
            </w:r>
          </w:p>
        </w:tc>
        <w:tc>
          <w:tcPr>
            <w:tcW w:w="8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943F2">
            <w:pPr>
              <w:jc w:val="righ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11</w:t>
            </w:r>
          </w:p>
        </w:tc>
        <w:tc>
          <w:tcPr>
            <w:tcW w:w="44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BE8C7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Six Development projects, five Services projects</w:t>
            </w:r>
          </w:p>
        </w:tc>
        <w:tc>
          <w:tcPr>
            <w:tcW w:w="13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91C50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Seeded</w:t>
            </w:r>
          </w:p>
        </w:tc>
      </w:tr>
      <w:tr w14:paraId="586C3B3B">
        <w:tc>
          <w:tcPr>
            <w:tcW w:w="25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A9BFB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reporting_period</w:t>
            </w:r>
          </w:p>
        </w:tc>
        <w:tc>
          <w:tcPr>
            <w:tcW w:w="8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70C7A">
            <w:pPr>
              <w:jc w:val="righ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24</w:t>
            </w:r>
          </w:p>
        </w:tc>
        <w:tc>
          <w:tcPr>
            <w:tcW w:w="44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EA6F3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Cycles and months, with real start and end dates</w:t>
            </w:r>
          </w:p>
        </w:tc>
        <w:tc>
          <w:tcPr>
            <w:tcW w:w="13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9E712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Seeded / grown</w:t>
            </w:r>
          </w:p>
        </w:tc>
      </w:tr>
      <w:tr w14:paraId="074BCF2E">
        <w:tc>
          <w:tcPr>
            <w:tcW w:w="25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02D26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user</w:t>
            </w:r>
          </w:p>
        </w:tc>
        <w:tc>
          <w:tcPr>
            <w:tcW w:w="8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85805">
            <w:pPr>
              <w:jc w:val="righ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10</w:t>
            </w:r>
          </w:p>
        </w:tc>
        <w:tc>
          <w:tcPr>
            <w:tcW w:w="44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96220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Sign-ins: one admin, one CTO, seven vertical heads, one shared uploader</w:t>
            </w:r>
          </w:p>
        </w:tc>
        <w:tc>
          <w:tcPr>
            <w:tcW w:w="13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664ED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Managed</w:t>
            </w:r>
          </w:p>
        </w:tc>
      </w:tr>
      <w:tr w14:paraId="1BA58D54">
        <w:tc>
          <w:tcPr>
            <w:tcW w:w="25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B9AC6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user_project</w:t>
            </w:r>
          </w:p>
        </w:tc>
        <w:tc>
          <w:tcPr>
            <w:tcW w:w="8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7F03D">
            <w:pPr>
              <w:jc w:val="righ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11</w:t>
            </w:r>
          </w:p>
        </w:tc>
        <w:tc>
          <w:tcPr>
            <w:tcW w:w="44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69A99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Which projects each vertical head covers</w:t>
            </w:r>
          </w:p>
        </w:tc>
        <w:tc>
          <w:tcPr>
            <w:tcW w:w="13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B9060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Managed</w:t>
            </w:r>
          </w:p>
        </w:tc>
      </w:tr>
      <w:tr w14:paraId="3BEE965F">
        <w:tc>
          <w:tcPr>
            <w:tcW w:w="25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2CB7A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upload_batch</w:t>
            </w:r>
          </w:p>
        </w:tc>
        <w:tc>
          <w:tcPr>
            <w:tcW w:w="8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BB8D5">
            <w:pPr>
              <w:jc w:val="righ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51</w:t>
            </w:r>
          </w:p>
        </w:tc>
        <w:tc>
          <w:tcPr>
            <w:tcW w:w="44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04B13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One uploaded workbook: who, when, hash, stage, every sign-off</w:t>
            </w:r>
          </w:p>
        </w:tc>
        <w:tc>
          <w:tcPr>
            <w:tcW w:w="13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290EF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Per upload</w:t>
            </w:r>
          </w:p>
        </w:tc>
      </w:tr>
      <w:tr w14:paraId="1A761C06">
        <w:tc>
          <w:tcPr>
            <w:tcW w:w="25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246A7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sheet_tab</w:t>
            </w:r>
          </w:p>
        </w:tc>
        <w:tc>
          <w:tcPr>
            <w:tcW w:w="8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3360E">
            <w:pPr>
              <w:jc w:val="righ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172</w:t>
            </w:r>
          </w:p>
        </w:tc>
        <w:tc>
          <w:tcPr>
            <w:tcW w:w="44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2F7BD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Each worksheet, its header row, or why it was skipped</w:t>
            </w:r>
          </w:p>
        </w:tc>
        <w:tc>
          <w:tcPr>
            <w:tcW w:w="13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2FAA1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Per upload</w:t>
            </w:r>
          </w:p>
        </w:tc>
      </w:tr>
      <w:tr w14:paraId="7B6911F6">
        <w:tc>
          <w:tcPr>
            <w:tcW w:w="25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819CA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development_record</w:t>
            </w:r>
          </w:p>
        </w:tc>
        <w:tc>
          <w:tcPr>
            <w:tcW w:w="8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A18DF">
            <w:pPr>
              <w:jc w:val="righ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467</w:t>
            </w:r>
          </w:p>
        </w:tc>
        <w:tc>
          <w:tcPr>
            <w:tcW w:w="44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C8D36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One row per module / CR / use case — 43 data columns</w:t>
            </w:r>
          </w:p>
        </w:tc>
        <w:tc>
          <w:tcPr>
            <w:tcW w:w="13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DF6CD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Per upload</w:t>
            </w:r>
          </w:p>
        </w:tc>
      </w:tr>
      <w:tr w14:paraId="275AECE2">
        <w:tc>
          <w:tcPr>
            <w:tcW w:w="25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9A83D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services_record</w:t>
            </w:r>
          </w:p>
        </w:tc>
        <w:tc>
          <w:tcPr>
            <w:tcW w:w="8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899F9">
            <w:pPr>
              <w:jc w:val="righ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30,739</w:t>
            </w:r>
          </w:p>
        </w:tc>
        <w:tc>
          <w:tcPr>
            <w:tcW w:w="44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092BC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One row per ticket — 21 data columns</w:t>
            </w:r>
          </w:p>
        </w:tc>
        <w:tc>
          <w:tcPr>
            <w:tcW w:w="13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E44D4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Per upload</w:t>
            </w:r>
          </w:p>
        </w:tc>
      </w:tr>
      <w:tr w14:paraId="3F3848FD">
        <w:tc>
          <w:tcPr>
            <w:tcW w:w="25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4C918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organogram_entry</w:t>
            </w:r>
          </w:p>
        </w:tc>
        <w:tc>
          <w:tcPr>
            <w:tcW w:w="8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45A7E">
            <w:pPr>
              <w:jc w:val="righ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11</w:t>
            </w:r>
          </w:p>
        </w:tc>
        <w:tc>
          <w:tcPr>
            <w:tcW w:w="44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0E1B4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Vertical and head per project, behind every approval queue</w:t>
            </w:r>
          </w:p>
        </w:tc>
        <w:tc>
          <w:tcPr>
            <w:tcW w:w="13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685F3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Seeded once</w:t>
            </w:r>
          </w:p>
        </w:tc>
      </w:tr>
      <w:tr w14:paraId="58DF303B">
        <w:tc>
          <w:tcPr>
            <w:tcW w:w="25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D371D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org_person</w:t>
            </w:r>
          </w:p>
        </w:tc>
        <w:tc>
          <w:tcPr>
            <w:tcW w:w="8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3041A">
            <w:pPr>
              <w:jc w:val="righ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156</w:t>
            </w:r>
          </w:p>
        </w:tc>
        <w:tc>
          <w:tcPr>
            <w:tcW w:w="44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62468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The reporting tree, self-referencing through reports_to_id</w:t>
            </w:r>
          </w:p>
        </w:tc>
        <w:tc>
          <w:tcPr>
            <w:tcW w:w="13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18FC5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Seeded once</w:t>
            </w:r>
          </w:p>
        </w:tc>
      </w:tr>
    </w:tbl>
    <w:p w14:paraId="63E92874">
      <w:pPr>
        <w:pStyle w:val="2"/>
        <w:spacing w:before="340" w:after="140"/>
      </w:pPr>
      <w:r>
        <w:rPr>
          <w:b/>
          <w:bCs/>
          <w:color w:val="0D1B3E"/>
          <w:sz w:val="28"/>
          <w:szCs w:val="28"/>
        </w:rPr>
        <w:t>3.  Every foreign key</w:t>
      </w:r>
    </w:p>
    <w:p w14:paraId="313A32AB">
      <w:pPr>
        <w:spacing w:after="200"/>
      </w:pPr>
      <w:r>
        <w:rPr>
          <w:sz w:val="21"/>
          <w:szCs w:val="21"/>
        </w:rPr>
        <w:t>Twenty-five in all. CASCADE marks the ones that delete with their parent; the rest restrict.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2900"/>
        <w:gridCol w:w="3200"/>
      </w:tblGrid>
      <w:tr w14:paraId="77C4600F">
        <w:trPr>
          <w:tblHeader/>
        </w:trPr>
        <w:tc>
          <w:tcPr>
            <w:tcW w:w="2900" w:type="dxa"/>
            <w:shd w:val="clear" w:color="auto" w:fill="0D1B3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61456A"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2900" w:type="dxa"/>
            <w:shd w:val="clear" w:color="auto" w:fill="0D1B3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093110"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3200" w:type="dxa"/>
            <w:shd w:val="clear" w:color="auto" w:fill="0D1B3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5E6A38"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</w:tr>
      <w:tr w14:paraId="21DCB794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22EFB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project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0FD57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category_id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E8BBA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category.id</w:t>
            </w:r>
          </w:p>
        </w:tc>
      </w:tr>
      <w:tr w14:paraId="201A6E45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6CDDF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upload_batch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84579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category_id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61AD1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category.id</w:t>
            </w:r>
          </w:p>
        </w:tc>
      </w:tr>
      <w:tr w14:paraId="1D55E1DC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8FE52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upload_batch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9B304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project_id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27185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project.id</w:t>
            </w:r>
          </w:p>
        </w:tc>
      </w:tr>
      <w:tr w14:paraId="2714CF7B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A8E5B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upload_batch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D0AA5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period_id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35805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reporting_period.id</w:t>
            </w:r>
          </w:p>
        </w:tc>
      </w:tr>
      <w:tr w14:paraId="0BAC76E1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82356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upload_batch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E4D04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uploaded_by_id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1BD83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user.id</w:t>
            </w:r>
          </w:p>
        </w:tc>
      </w:tr>
      <w:tr w14:paraId="58959A59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2D37E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upload_batch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CE3B1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vertical_approved_by_id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1DDAF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user.id</w:t>
            </w:r>
          </w:p>
        </w:tc>
      </w:tr>
      <w:tr w14:paraId="50E593B0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6D16F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upload_batch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DCB10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admin_approved_by_id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CD7F7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user.id</w:t>
            </w:r>
          </w:p>
        </w:tc>
      </w:tr>
      <w:tr w14:paraId="2E1EB3F1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E24E8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upload_batch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D7D3F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cto_approved_by_id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2EC80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user.id</w:t>
            </w:r>
          </w:p>
        </w:tc>
      </w:tr>
      <w:tr w14:paraId="2AA88D26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A1EEC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upload_batch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91C17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rejected_by_id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39A86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user.id</w:t>
            </w:r>
          </w:p>
        </w:tc>
      </w:tr>
      <w:tr w14:paraId="0461CDF9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9F69A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sheet_tab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58AF8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upload_id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81F01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upload_batch.id  (CASCADE)</w:t>
            </w:r>
          </w:p>
        </w:tc>
      </w:tr>
      <w:tr w14:paraId="230718C1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479E5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development_record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6F8E8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upload_id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17D16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upload_batch.id  (CASCADE)</w:t>
            </w:r>
          </w:p>
        </w:tc>
      </w:tr>
      <w:tr w14:paraId="12AFC2CA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D1422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development_record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37637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sheet_id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72716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sheet_tab.id  (CASCADE)</w:t>
            </w:r>
          </w:p>
        </w:tc>
      </w:tr>
      <w:tr w14:paraId="1D86CDA9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444D9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development_record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2F20C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category_id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41091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category.id</w:t>
            </w:r>
          </w:p>
        </w:tc>
      </w:tr>
      <w:tr w14:paraId="4DF92AB2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00929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development_record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995A4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project_id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93CC0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project.id</w:t>
            </w:r>
          </w:p>
        </w:tc>
      </w:tr>
      <w:tr w14:paraId="05B6CB72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65CE1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development_record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8DCA0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period_id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8921B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reporting_period.id</w:t>
            </w:r>
          </w:p>
        </w:tc>
      </w:tr>
      <w:tr w14:paraId="461D1AC2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1BABB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services_record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09148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upload_id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2AE45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upload_batch.id  (CASCADE)</w:t>
            </w:r>
          </w:p>
        </w:tc>
      </w:tr>
      <w:tr w14:paraId="4E0DFC09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B2F0A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services_record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9CDBD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sheet_id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26C87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sheet_tab.id  (CASCADE)</w:t>
            </w:r>
          </w:p>
        </w:tc>
      </w:tr>
      <w:tr w14:paraId="5E152A55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39150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services_record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F7A27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category_id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C47C1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category.id</w:t>
            </w:r>
          </w:p>
        </w:tc>
      </w:tr>
      <w:tr w14:paraId="04677303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70938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services_record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D7785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project_id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54DF1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project.id</w:t>
            </w:r>
          </w:p>
        </w:tc>
      </w:tr>
      <w:tr w14:paraId="563496FC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61114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services_record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90FDD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period_id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55B65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reporting_period.id</w:t>
            </w:r>
          </w:p>
        </w:tc>
      </w:tr>
      <w:tr w14:paraId="538219C9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438E0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user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0322A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created_by_id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92A72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user.id  (self)</w:t>
            </w:r>
          </w:p>
        </w:tc>
      </w:tr>
      <w:tr w14:paraId="01BA96D8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99F6F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user_project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794EA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user_id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670B0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user.id</w:t>
            </w:r>
          </w:p>
        </w:tc>
      </w:tr>
      <w:tr w14:paraId="7C49DE56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DFAC1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user_project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41F51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project_id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B7378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project.id</w:t>
            </w:r>
          </w:p>
        </w:tc>
      </w:tr>
      <w:tr w14:paraId="57C71A37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12774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organogram_entry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FA4DF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project_id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36B09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project.id</w:t>
            </w:r>
          </w:p>
        </w:tc>
      </w:tr>
      <w:tr w14:paraId="1BD2E201"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14C1D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org_person</w:t>
            </w:r>
          </w:p>
        </w:tc>
        <w:tc>
          <w:tcPr>
            <w:tcW w:w="29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12D49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reports_to_id</w:t>
            </w:r>
          </w:p>
        </w:tc>
        <w:tc>
          <w:tcPr>
            <w:tcW w:w="32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58034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org_person.id  (self)</w:t>
            </w:r>
          </w:p>
        </w:tc>
      </w:tr>
    </w:tbl>
    <w:p w14:paraId="03ED9D38">
      <w:r>
        <w:br w:type="page"/>
      </w:r>
    </w:p>
    <w:p w14:paraId="50C60D47">
      <w:pPr>
        <w:pStyle w:val="2"/>
        <w:spacing w:before="340" w:after="140"/>
      </w:pPr>
      <w:r>
        <w:rPr>
          <w:b/>
          <w:bCs/>
          <w:color w:val="0D1B3E"/>
          <w:sz w:val="28"/>
          <w:szCs w:val="28"/>
        </w:rPr>
        <w:t>4.  Provenance on every data row</w:t>
      </w:r>
    </w:p>
    <w:p w14:paraId="16586267">
      <w:pPr>
        <w:spacing w:after="140"/>
      </w:pPr>
      <w:r>
        <w:rPr>
          <w:sz w:val="21"/>
          <w:szCs w:val="21"/>
        </w:rPr>
        <w:t>Both record tables carry the same five provenance columns in addition to their data columns, so a single table answers most questions without a join.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400"/>
      </w:tblGrid>
      <w:tr w14:paraId="4CBA7853">
        <w:trPr>
          <w:tblHeader/>
        </w:trPr>
        <w:tc>
          <w:tcPr>
            <w:tcW w:w="2600" w:type="dxa"/>
            <w:shd w:val="clear" w:color="auto" w:fill="0D1B3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5FD1B6"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6400" w:type="dxa"/>
            <w:shd w:val="clear" w:color="auto" w:fill="0D1B3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C78CCE"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>MEANING</w:t>
            </w:r>
          </w:p>
        </w:tc>
      </w:tr>
      <w:tr w14:paraId="1ECA650C">
        <w:tc>
          <w:tcPr>
            <w:tcW w:w="26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77ACC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upload_name</w:t>
            </w:r>
          </w:p>
        </w:tc>
        <w:tc>
          <w:tcPr>
            <w:tcW w:w="64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96DFF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The file it was uploaded as. Half of the row's identity.</w:t>
            </w:r>
          </w:p>
        </w:tc>
      </w:tr>
      <w:tr w14:paraId="44BB5E4E">
        <w:tc>
          <w:tcPr>
            <w:tcW w:w="26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3A319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period_label</w:t>
            </w:r>
          </w:p>
        </w:tc>
        <w:tc>
          <w:tcPr>
            <w:tcW w:w="64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13620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Denormalised from reporting_period for easy querying.</w:t>
            </w:r>
          </w:p>
        </w:tc>
      </w:tr>
      <w:tr w14:paraId="041DEAA4">
        <w:tc>
          <w:tcPr>
            <w:tcW w:w="26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4C2E5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sheet_name</w:t>
            </w:r>
          </w:p>
        </w:tc>
        <w:tc>
          <w:tcPr>
            <w:tcW w:w="64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FD3D1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The worksheet it came from.</w:t>
            </w:r>
          </w:p>
        </w:tc>
      </w:tr>
      <w:tr w14:paraId="6F4918AB">
        <w:tc>
          <w:tcPr>
            <w:tcW w:w="26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74BD2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row_index</w:t>
            </w:r>
          </w:p>
        </w:tc>
        <w:tc>
          <w:tcPr>
            <w:tcW w:w="64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B3EA8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1-based row number in that worksheet, so a value can be traced to a cell.</w:t>
            </w:r>
          </w:p>
        </w:tc>
      </w:tr>
      <w:tr w14:paraId="65496EDC">
        <w:tc>
          <w:tcPr>
            <w:tcW w:w="26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18753">
            <w:pPr>
              <w:jc w:val="left"/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extra_columns</w:t>
            </w:r>
          </w:p>
        </w:tc>
        <w:tc>
          <w:tcPr>
            <w:tcW w:w="6400" w:type="dxa"/>
            <w:tcBorders>
              <w:top w:val="single" w:color="DDE1E9" w:sz="2" w:space="0"/>
              <w:left w:val="single" w:color="DDE1E9" w:sz="2" w:space="0"/>
              <w:bottom w:val="single" w:color="DDE1E9" w:sz="2" w:space="0"/>
              <w:right w:val="single" w:color="DDE1E9" w:sz="2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BA7B6"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>JSON. Any heading the catalogue did not recognise, kept rather than dropped.</w:t>
            </w:r>
          </w:p>
        </w:tc>
      </w:tr>
    </w:tbl>
    <w:p w14:paraId="32275F8A">
      <w:pPr>
        <w:pStyle w:val="2"/>
        <w:spacing w:before="340" w:after="140"/>
      </w:pPr>
      <w:r>
        <w:rPr>
          <w:b/>
          <w:bCs/>
          <w:color w:val="0D1B3E"/>
          <w:sz w:val="28"/>
          <w:szCs w:val="28"/>
        </w:rPr>
        <w:t>5.  The column catalogue</w:t>
      </w:r>
    </w:p>
    <w:p w14:paraId="45DD1ACA">
      <w:pPr>
        <w:spacing w:after="140"/>
      </w:pPr>
      <w:r>
        <w:rPr>
          <w:sz w:val="21"/>
          <w:szCs w:val="21"/>
        </w:rPr>
        <w:t>Each heading a team wrote is matched to one fixed column. The sheets do not agree with each other — column counts range from 19 to 76 and the same measure is written several ways — so the catalogue is what keeps the table a stable shape.</w:t>
      </w:r>
    </w:p>
    <w:p w14:paraId="2CF9B22E">
      <w:pPr>
        <w:pStyle w:val="3"/>
        <w:spacing w:before="260" w:after="100"/>
      </w:pPr>
      <w:r>
        <w:rPr>
          <w:b/>
          <w:bCs/>
          <w:color w:val="0D1B3E"/>
          <w:sz w:val="23"/>
          <w:szCs w:val="23"/>
        </w:rPr>
        <w:t>development_record — 43 data columns</w:t>
      </w:r>
    </w:p>
    <w:p w14:paraId="3E7F5D0F">
      <w:pPr>
        <w:spacing w:after="130"/>
        <w:ind w:left="360" w:hanging="180"/>
      </w:pPr>
      <w:r>
        <w:rPr>
          <w:sz w:val="21"/>
          <w:szCs w:val="21"/>
        </w:rPr>
        <w:t xml:space="preserve">•  </w:t>
      </w:r>
      <w:r>
        <w:rPr>
          <w:b/>
          <w:bCs/>
          <w:sz w:val="20"/>
          <w:szCs w:val="20"/>
        </w:rPr>
        <w:t xml:space="preserve">Identity  </w:t>
      </w:r>
      <w:r>
        <w:rPr>
          <w:rFonts w:ascii="Consolas" w:hAnsi="Consolas" w:eastAsia="Consolas" w:cs="Consolas"/>
          <w:sz w:val="18"/>
          <w:szCs w:val="18"/>
        </w:rPr>
        <w:t>department, project_name, service_name</w:t>
      </w:r>
    </w:p>
    <w:p w14:paraId="12AA8F84">
      <w:pPr>
        <w:spacing w:after="130"/>
        <w:ind w:left="360" w:hanging="180"/>
      </w:pPr>
      <w:r>
        <w:rPr>
          <w:sz w:val="21"/>
          <w:szCs w:val="21"/>
        </w:rPr>
        <w:t xml:space="preserve">•  </w:t>
      </w:r>
      <w:r>
        <w:rPr>
          <w:b/>
          <w:bCs/>
          <w:sz w:val="20"/>
          <w:szCs w:val="20"/>
        </w:rPr>
        <w:t xml:space="preserve">Size  </w:t>
      </w:r>
      <w:r>
        <w:rPr>
          <w:rFonts w:ascii="Consolas" w:hAnsi="Consolas" w:eastAsia="Consolas" w:cs="Consolas"/>
          <w:sz w:val="18"/>
          <w:szCs w:val="18"/>
        </w:rPr>
        <w:t>size, size_old, size_new</w:t>
      </w:r>
    </w:p>
    <w:p w14:paraId="214F5A6C">
      <w:pPr>
        <w:spacing w:after="130"/>
        <w:ind w:left="360" w:hanging="180"/>
      </w:pPr>
      <w:r>
        <w:rPr>
          <w:sz w:val="21"/>
          <w:szCs w:val="21"/>
        </w:rPr>
        <w:t xml:space="preserve">•  </w:t>
      </w:r>
      <w:r>
        <w:rPr>
          <w:b/>
          <w:bCs/>
          <w:sz w:val="20"/>
          <w:szCs w:val="20"/>
        </w:rPr>
        <w:t xml:space="preserve">Effort  </w:t>
      </w:r>
      <w:r>
        <w:rPr>
          <w:rFonts w:ascii="Consolas" w:hAnsi="Consolas" w:eastAsia="Consolas" w:cs="Consolas"/>
          <w:sz w:val="18"/>
          <w:szCs w:val="18"/>
        </w:rPr>
        <w:t>planned_effort, actual_effort, ra_actual_effort, design_actual_effort, coding_actual_effort, crut_effort, testing_actual_effort</w:t>
      </w:r>
    </w:p>
    <w:p w14:paraId="7CA83A16">
      <w:pPr>
        <w:spacing w:after="130"/>
        <w:ind w:left="360" w:hanging="180"/>
      </w:pPr>
      <w:r>
        <w:rPr>
          <w:sz w:val="21"/>
          <w:szCs w:val="21"/>
        </w:rPr>
        <w:t xml:space="preserve">•  </w:t>
      </w:r>
      <w:r>
        <w:rPr>
          <w:b/>
          <w:bCs/>
          <w:sz w:val="20"/>
          <w:szCs w:val="20"/>
        </w:rPr>
        <w:t xml:space="preserve">Dates  </w:t>
      </w:r>
      <w:r>
        <w:rPr>
          <w:rFonts w:ascii="Consolas" w:hAnsi="Consolas" w:eastAsia="Consolas" w:cs="Consolas"/>
          <w:sz w:val="18"/>
          <w:szCs w:val="18"/>
        </w:rPr>
        <w:t>planned_start, planned_end, actual_start, actual_end, ra_start, ra_end, design_start, design_end, cut_start, cut_end, crut_start, crut_end, testing_start, testing_end, uat_start, uat_end, golive_date</w:t>
      </w:r>
    </w:p>
    <w:p w14:paraId="119EC92A">
      <w:pPr>
        <w:spacing w:after="130"/>
        <w:ind w:left="360" w:hanging="180"/>
      </w:pPr>
      <w:r>
        <w:rPr>
          <w:sz w:val="21"/>
          <w:szCs w:val="21"/>
        </w:rPr>
        <w:t xml:space="preserve">•  </w:t>
      </w:r>
      <w:r>
        <w:rPr>
          <w:b/>
          <w:bCs/>
          <w:sz w:val="20"/>
          <w:szCs w:val="20"/>
        </w:rPr>
        <w:t xml:space="preserve">Duration  </w:t>
      </w:r>
      <w:r>
        <w:rPr>
          <w:rFonts w:ascii="Consolas" w:hAnsi="Consolas" w:eastAsia="Consolas" w:cs="Consolas"/>
          <w:sz w:val="18"/>
          <w:szCs w:val="18"/>
        </w:rPr>
        <w:t>ra_duration, design_duration, cut_duration, testing_duration</w:t>
      </w:r>
    </w:p>
    <w:p w14:paraId="43312537">
      <w:pPr>
        <w:spacing w:after="130"/>
        <w:ind w:left="360" w:hanging="180"/>
      </w:pPr>
      <w:r>
        <w:rPr>
          <w:sz w:val="21"/>
          <w:szCs w:val="21"/>
        </w:rPr>
        <w:t xml:space="preserve">•  </w:t>
      </w:r>
      <w:r>
        <w:rPr>
          <w:b/>
          <w:bCs/>
          <w:sz w:val="20"/>
          <w:szCs w:val="20"/>
        </w:rPr>
        <w:t xml:space="preserve">Rates  </w:t>
      </w:r>
      <w:r>
        <w:rPr>
          <w:rFonts w:ascii="Consolas" w:hAnsi="Consolas" w:eastAsia="Consolas" w:cs="Consolas"/>
          <w:sz w:val="18"/>
          <w:szCs w:val="18"/>
        </w:rPr>
        <w:t>coding_rate, crut_rate, testing_rate</w:t>
      </w:r>
    </w:p>
    <w:p w14:paraId="6B897F66">
      <w:pPr>
        <w:spacing w:after="130"/>
        <w:ind w:left="360" w:hanging="180"/>
      </w:pPr>
      <w:r>
        <w:rPr>
          <w:sz w:val="21"/>
          <w:szCs w:val="21"/>
        </w:rPr>
        <w:t xml:space="preserve">•  </w:t>
      </w:r>
      <w:r>
        <w:rPr>
          <w:b/>
          <w:bCs/>
          <w:sz w:val="20"/>
          <w:szCs w:val="20"/>
        </w:rPr>
        <w:t xml:space="preserve">Quality  </w:t>
      </w:r>
      <w:r>
        <w:rPr>
          <w:rFonts w:ascii="Consolas" w:hAnsi="Consolas" w:eastAsia="Consolas" w:cs="Consolas"/>
          <w:sz w:val="18"/>
          <w:szCs w:val="18"/>
        </w:rPr>
        <w:t>test_cases, req_review_defects, design_review_defects, code_review_defects, internal_testing_defects, external_defects</w:t>
      </w:r>
    </w:p>
    <w:p w14:paraId="21AADCD5">
      <w:pPr>
        <w:pStyle w:val="3"/>
        <w:spacing w:before="260" w:after="100"/>
      </w:pPr>
      <w:r>
        <w:rPr>
          <w:b/>
          <w:bCs/>
          <w:color w:val="0D1B3E"/>
          <w:sz w:val="23"/>
          <w:szCs w:val="23"/>
        </w:rPr>
        <w:t>services_record — 21 data columns</w:t>
      </w:r>
    </w:p>
    <w:p w14:paraId="405F585E">
      <w:pPr>
        <w:spacing w:after="130"/>
        <w:ind w:left="360" w:hanging="180"/>
      </w:pPr>
      <w:r>
        <w:rPr>
          <w:sz w:val="21"/>
          <w:szCs w:val="21"/>
        </w:rPr>
        <w:t xml:space="preserve">•  </w:t>
      </w:r>
      <w:r>
        <w:rPr>
          <w:b/>
          <w:bCs/>
          <w:sz w:val="20"/>
          <w:szCs w:val="20"/>
        </w:rPr>
        <w:t xml:space="preserve">Identity  </w:t>
      </w:r>
      <w:r>
        <w:rPr>
          <w:rFonts w:ascii="Consolas" w:hAnsi="Consolas" w:eastAsia="Consolas" w:cs="Consolas"/>
          <w:sz w:val="18"/>
          <w:szCs w:val="18"/>
        </w:rPr>
        <w:t>request_id, client, description</w:t>
      </w:r>
    </w:p>
    <w:p w14:paraId="22D1FB78">
      <w:pPr>
        <w:spacing w:after="130"/>
        <w:ind w:left="360" w:hanging="180"/>
      </w:pPr>
      <w:r>
        <w:rPr>
          <w:sz w:val="21"/>
          <w:szCs w:val="21"/>
        </w:rPr>
        <w:t xml:space="preserve">•  </w:t>
      </w:r>
      <w:r>
        <w:rPr>
          <w:b/>
          <w:bCs/>
          <w:sz w:val="20"/>
          <w:szCs w:val="20"/>
        </w:rPr>
        <w:t xml:space="preserve">Classification  </w:t>
      </w:r>
      <w:r>
        <w:rPr>
          <w:rFonts w:ascii="Consolas" w:hAnsi="Consolas" w:eastAsia="Consolas" w:cs="Consolas"/>
          <w:sz w:val="18"/>
          <w:szCs w:val="18"/>
        </w:rPr>
        <w:t>ticket_category, priority, kedb, assigned_to, status</w:t>
      </w:r>
    </w:p>
    <w:p w14:paraId="1AFAF0AA">
      <w:pPr>
        <w:spacing w:after="130"/>
        <w:ind w:left="360" w:hanging="180"/>
      </w:pPr>
      <w:r>
        <w:rPr>
          <w:sz w:val="21"/>
          <w:szCs w:val="21"/>
        </w:rPr>
        <w:t xml:space="preserve">•  </w:t>
      </w:r>
      <w:r>
        <w:rPr>
          <w:b/>
          <w:bCs/>
          <w:sz w:val="20"/>
          <w:szCs w:val="20"/>
        </w:rPr>
        <w:t xml:space="preserve">Outcome  </w:t>
      </w:r>
      <w:r>
        <w:rPr>
          <w:rFonts w:ascii="Consolas" w:hAnsi="Consolas" w:eastAsia="Consolas" w:cs="Consolas"/>
          <w:sz w:val="18"/>
          <w:szCs w:val="18"/>
        </w:rPr>
        <w:t>reopen, rejections_complaints, remarks</w:t>
      </w:r>
    </w:p>
    <w:p w14:paraId="30816AD6">
      <w:pPr>
        <w:spacing w:after="130"/>
        <w:ind w:left="360" w:hanging="180"/>
      </w:pPr>
      <w:r>
        <w:rPr>
          <w:sz w:val="21"/>
          <w:szCs w:val="21"/>
        </w:rPr>
        <w:t xml:space="preserve">•  </w:t>
      </w:r>
      <w:r>
        <w:rPr>
          <w:b/>
          <w:bCs/>
          <w:sz w:val="20"/>
          <w:szCs w:val="20"/>
        </w:rPr>
        <w:t xml:space="preserve">Response  </w:t>
      </w:r>
      <w:r>
        <w:rPr>
          <w:rFonts w:ascii="Consolas" w:hAnsi="Consolas" w:eastAsia="Consolas" w:cs="Consolas"/>
          <w:sz w:val="18"/>
          <w:szCs w:val="18"/>
        </w:rPr>
        <w:t>logging_datetime, response_datetime, response_time, response_defined_sla, response_sla_compliance</w:t>
      </w:r>
    </w:p>
    <w:p w14:paraId="1D566143">
      <w:pPr>
        <w:spacing w:after="130"/>
        <w:ind w:left="360" w:hanging="180"/>
      </w:pPr>
      <w:r>
        <w:rPr>
          <w:sz w:val="21"/>
          <w:szCs w:val="21"/>
        </w:rPr>
        <w:t xml:space="preserve">•  </w:t>
      </w:r>
      <w:r>
        <w:rPr>
          <w:b/>
          <w:bCs/>
          <w:sz w:val="20"/>
          <w:szCs w:val="20"/>
        </w:rPr>
        <w:t xml:space="preserve">Resolution  </w:t>
      </w:r>
      <w:r>
        <w:rPr>
          <w:rFonts w:ascii="Consolas" w:hAnsi="Consolas" w:eastAsia="Consolas" w:cs="Consolas"/>
          <w:sz w:val="18"/>
          <w:szCs w:val="18"/>
        </w:rPr>
        <w:t>resolution_datetime, resolution_time, resolution_defined_sla, resolution_sla_compliance, closure_date</w:t>
      </w:r>
    </w:p>
    <w:p w14:paraId="7D2C4933">
      <w:pPr>
        <w:spacing w:after="200"/>
      </w:pPr>
      <w:r>
        <w:rPr>
          <w:sz w:val="21"/>
          <w:szCs w:val="21"/>
        </w:rPr>
        <w:t>The Services logs repeat 'Defined SLA' and 'SLA Compliance' twice — once after the response columns, once after the resolution columns. They are told apart by position and stored separately, which is why there are two of each above.</w:t>
      </w:r>
    </w:p>
    <w:p w14:paraId="6C5C8012">
      <w:pPr>
        <w:pStyle w:val="3"/>
        <w:spacing w:before="260" w:after="100"/>
      </w:pPr>
      <w:r>
        <w:rPr>
          <w:b/>
          <w:bCs/>
          <w:color w:val="0D1B3E"/>
          <w:sz w:val="23"/>
          <w:szCs w:val="23"/>
        </w:rPr>
        <w:t>Headings deliberately not stored</w:t>
      </w:r>
    </w:p>
    <w:p w14:paraId="24F7D154">
      <w:pPr>
        <w:spacing w:after="140"/>
      </w:pPr>
      <w:r>
        <w:rPr>
          <w:sz w:val="21"/>
          <w:szCs w:val="21"/>
        </w:rPr>
        <w:t>These are recognised and skipped, so they are not treated as unknown columns:</w:t>
      </w:r>
    </w:p>
    <w:p w14:paraId="42294495">
      <w:pPr>
        <w:spacing w:after="120"/>
        <w:ind w:left="360" w:hanging="180"/>
      </w:pPr>
      <w:r>
        <w:rPr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S.No. and its variants — </w:t>
      </w:r>
      <w:r>
        <w:rPr>
          <w:sz w:val="21"/>
          <w:szCs w:val="21"/>
        </w:rPr>
        <w:t>sno, sr no, serial no. A row counter carries no information.</w:t>
      </w:r>
    </w:p>
    <w:p w14:paraId="123AE03C">
      <w:pPr>
        <w:spacing w:after="120"/>
        <w:ind w:left="360" w:hanging="180"/>
      </w:pPr>
      <w:r>
        <w:rPr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The FOR MQAS USE block — </w:t>
      </w:r>
      <w:r>
        <w:rPr>
          <w:sz w:val="21"/>
          <w:szCs w:val="21"/>
        </w:rPr>
        <w:t>cycle time, effort variance, productivity, defect removal effectiveness. MQAS fills these in, not the project teams, and all four are derivable from the stored columns.</w:t>
      </w:r>
    </w:p>
    <w:p w14:paraId="26DFF30B">
      <w:r>
        <w:br w:type="page"/>
      </w:r>
    </w:p>
    <w:p w14:paraId="650D1539">
      <w:pPr>
        <w:pStyle w:val="2"/>
        <w:spacing w:before="340" w:after="140"/>
      </w:pPr>
      <w:r>
        <w:rPr>
          <w:b/>
          <w:bCs/>
          <w:color w:val="0D1B3E"/>
          <w:sz w:val="28"/>
          <w:szCs w:val="28"/>
        </w:rPr>
        <w:t>6.  Design decisions</w:t>
      </w:r>
    </w:p>
    <w:p w14:paraId="5680A985">
      <w:pPr>
        <w:pStyle w:val="4"/>
        <w:spacing w:before="200" w:after="80"/>
      </w:pPr>
      <w:r>
        <w:rPr>
          <w:b/>
          <w:bCs/>
          <w:color w:val="0D1B3E"/>
          <w:sz w:val="21"/>
          <w:szCs w:val="21"/>
        </w:rPr>
        <w:t>Row identity is the file plus the row's own name</w:t>
      </w:r>
    </w:p>
    <w:p w14:paraId="204C05BB">
      <w:pPr>
        <w:spacing w:after="140"/>
      </w:pPr>
      <w:r>
        <w:rPr>
          <w:sz w:val="21"/>
          <w:szCs w:val="21"/>
        </w:rPr>
        <w:t>service_name for Development, request_id for Services. Both pairs are indexed but neither is unique: Request IDs genuinely repeat in the Services logs — five do in the DSP e-district June 2026 sheet alone — so a unique key would reject real rows.</w:t>
      </w:r>
    </w:p>
    <w:p w14:paraId="3D7E8F48">
      <w:pPr>
        <w:pStyle w:val="4"/>
        <w:spacing w:before="200" w:after="80"/>
      </w:pPr>
      <w:r>
        <w:rPr>
          <w:b/>
          <w:bCs/>
          <w:color w:val="0D1B3E"/>
          <w:sz w:val="21"/>
          <w:szCs w:val="21"/>
        </w:rPr>
        <w:t>Deletion cascades</w:t>
      </w:r>
    </w:p>
    <w:p w14:paraId="0BF2FEFD">
      <w:pPr>
        <w:spacing w:after="140"/>
      </w:pPr>
      <w:r>
        <w:rPr>
          <w:sz w:val="21"/>
          <w:szCs w:val="21"/>
        </w:rPr>
        <w:t>sheet_tab and both record tables cascade from upload_batch, and the batch row carries the approvals, so a DELETE removes the upload, its rows and its sign-offs together. Only an administrator can delete. This is the one gap in the audit trail, and closing it would need a separate append-only log table.</w:t>
      </w:r>
    </w:p>
    <w:p w14:paraId="68E9D4B7">
      <w:pPr>
        <w:pStyle w:val="4"/>
        <w:spacing w:before="200" w:after="80"/>
      </w:pPr>
      <w:r>
        <w:rPr>
          <w:b/>
          <w:bCs/>
          <w:color w:val="0D1B3E"/>
          <w:sz w:val="21"/>
          <w:szCs w:val="21"/>
        </w:rPr>
        <w:t>There is no audit table</w:t>
      </w:r>
    </w:p>
    <w:p w14:paraId="29E61AC0">
      <w:pPr>
        <w:spacing w:after="140"/>
      </w:pPr>
      <w:r>
        <w:rPr>
          <w:sz w:val="21"/>
          <w:szCs w:val="21"/>
        </w:rPr>
        <w:t>The activity trail is derived at request time from the timestamp columns on upload_batch and user — one batch row produces up to five dated events: the upload, three approvals and a rejection. Those columns are the record of truth, so a trail read from them cannot drift from what it describes. A separate log would be a second copy of the same facts and could.</w:t>
      </w:r>
    </w:p>
    <w:p w14:paraId="7E34A3E1">
      <w:pPr>
        <w:pStyle w:val="4"/>
        <w:spacing w:before="200" w:after="80"/>
      </w:pPr>
      <w:r>
        <w:rPr>
          <w:b/>
          <w:bCs/>
          <w:color w:val="0D1B3E"/>
          <w:sz w:val="21"/>
          <w:szCs w:val="21"/>
        </w:rPr>
        <w:t>Nothing derivable is stored</w:t>
      </w:r>
    </w:p>
    <w:p w14:paraId="66784597">
      <w:pPr>
        <w:spacing w:after="140"/>
      </w:pPr>
      <w:r>
        <w:rPr>
          <w:sz w:val="21"/>
          <w:szCs w:val="21"/>
        </w:rPr>
        <w:t>No sort_order on categories — they come back in the order seed.py lists them. No year or quarter on a period — YEAR(start_date) and QUARTER(start_date) give the same answer and cannot drift out of step. No sort_key — ORDER BY start_date replaces it, and periods without dates sort last.</w:t>
      </w:r>
    </w:p>
    <w:p w14:paraId="62674127">
      <w:pPr>
        <w:pStyle w:val="4"/>
        <w:spacing w:before="200" w:after="80"/>
      </w:pPr>
      <w:r>
        <w:rPr>
          <w:b/>
          <w:bCs/>
          <w:color w:val="0D1B3E"/>
          <w:sz w:val="21"/>
          <w:szCs w:val="21"/>
          <w:lang w:val="en-US"/>
        </w:rPr>
        <w:t>Unrecognized</w:t>
      </w:r>
      <w:bookmarkStart w:id="0" w:name="_GoBack"/>
      <w:bookmarkEnd w:id="0"/>
      <w:r>
        <w:rPr>
          <w:b/>
          <w:bCs/>
          <w:color w:val="0D1B3E"/>
          <w:sz w:val="21"/>
          <w:szCs w:val="21"/>
        </w:rPr>
        <w:t xml:space="preserve"> headings are kept</w:t>
      </w:r>
    </w:p>
    <w:p w14:paraId="644CB6AC">
      <w:pPr>
        <w:spacing w:after="140"/>
      </w:pPr>
      <w:r>
        <w:rPr>
          <w:sz w:val="21"/>
          <w:szCs w:val="21"/>
        </w:rPr>
        <w:t>A heading the catalogue does not know goes into the row's extra_columns JSON field and is flagged on the upload page, so nothing is lost and the table stays the same shape. A worksheet that is not a data collection sheet still gets a sheet_tab row recording why it was skipped.</w:t>
      </w:r>
    </w:p>
    <w:p w14:paraId="00AFD179">
      <w:pPr>
        <w:pStyle w:val="2"/>
        <w:spacing w:before="340" w:after="140"/>
      </w:pPr>
      <w:r>
        <w:rPr>
          <w:b/>
          <w:bCs/>
          <w:color w:val="0D1B3E"/>
          <w:sz w:val="28"/>
          <w:szCs w:val="28"/>
        </w:rPr>
        <w:t>7.  Querying it</w:t>
      </w:r>
    </w:p>
    <w:p w14:paraId="2BED83C6">
      <w:pPr>
        <w:spacing w:after="140"/>
      </w:pPr>
      <w:r>
        <w:rPr>
          <w:sz w:val="21"/>
          <w:szCs w:val="21"/>
        </w:rPr>
        <w:t>The shape is deliberately plain: one row per spreadsheet row, the sheet's columns as real columns, so ordinary SQL works with no reshaping.</w:t>
      </w:r>
    </w:p>
    <w:p w14:paraId="511ACDA6">
      <w:pPr>
        <w:pBdr>
          <w:left w:val="single" w:color="2563EB" w:sz="12" w:space="10"/>
        </w:pBdr>
        <w:shd w:val="clear" w:fill="F4F6FA"/>
        <w:spacing w:before="120" w:after="200"/>
        <w:ind w:left="180" w:right="180"/>
      </w:pPr>
      <w:r>
        <w:rPr>
          <w:rFonts w:ascii="Consolas" w:hAnsi="Consolas" w:eastAsia="Consolas" w:cs="Consolas"/>
          <w:sz w:val="18"/>
          <w:szCs w:val="18"/>
        </w:rPr>
        <w:t>-- productivity and effort variance by period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period_label,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      COUNT(*)                                   AS rows_n,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      ROUND(AVG(size_new / actual_effort), 4)    AS productivity,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      ROUND(AVG((actual_effort - planned_effort)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                / planned_effort * 100), 1)      AS effort_variance_pct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FROM   development_record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WHERE  actual_effort &gt; 0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GROUP  BY period_label;</w:t>
      </w:r>
    </w:p>
    <w:p w14:paraId="51646A55">
      <w:pPr>
        <w:spacing w:after="140"/>
      </w:pPr>
      <w:r>
        <w:rPr>
          <w:sz w:val="21"/>
          <w:szCs w:val="21"/>
        </w:rPr>
        <w:t>Sheets vary in which size column they use, so for modelling take the first one present:</w:t>
      </w:r>
    </w:p>
    <w:p w14:paraId="4168E101">
      <w:pPr>
        <w:pBdr>
          <w:left w:val="single" w:color="2563EB" w:sz="12" w:space="10"/>
        </w:pBdr>
        <w:shd w:val="clear" w:fill="F4F6FA"/>
        <w:spacing w:before="120" w:after="200"/>
        <w:ind w:left="180" w:right="180"/>
      </w:pPr>
      <w:r>
        <w:rPr>
          <w:rFonts w:ascii="Consolas" w:hAnsi="Consolas" w:eastAsia="Consolas" w:cs="Consolas"/>
          <w:sz w:val="18"/>
          <w:szCs w:val="18"/>
        </w:rPr>
        <w:t>SELECT service_name, COALESCE(size, size_new, size_old) AS size_pts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FROM   development_record;</w:t>
      </w:r>
    </w:p>
    <w:p w14:paraId="77BC09E8">
      <w:pPr>
        <w:spacing w:after="140"/>
      </w:pPr>
      <w:r>
        <w:rPr>
          <w:sz w:val="21"/>
          <w:szCs w:val="21"/>
        </w:rPr>
        <w:t>To restrict to approved data, join upload_batch and filter on the stage — that is what the web pages do by default:</w:t>
      </w:r>
    </w:p>
    <w:p w14:paraId="5683A968">
      <w:pPr>
        <w:pBdr>
          <w:left w:val="single" w:color="2563EB" w:sz="12" w:space="10"/>
        </w:pBdr>
        <w:shd w:val="clear" w:fill="F4F6FA"/>
        <w:spacing w:before="120" w:after="200"/>
        <w:ind w:left="180" w:right="180"/>
      </w:pPr>
      <w:r>
        <w:rPr>
          <w:rFonts w:ascii="Consolas" w:hAnsi="Consolas" w:eastAsia="Consolas" w:cs="Consolas"/>
          <w:sz w:val="18"/>
          <w:szCs w:val="18"/>
        </w:rPr>
        <w:t>SELECT r.*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FROM   services_record r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JOIN   upload_batch b ON b.id = r.upload_id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WHERE  b.stage = 'approved';</w:t>
      </w:r>
    </w:p>
    <w:p w14:paraId="30C77530">
      <w:pPr>
        <w:pBdr>
          <w:top w:val="single" w:color="DDE1E9" w:sz="6" w:space="8"/>
        </w:pBdr>
        <w:spacing w:before="420"/>
      </w:pPr>
      <w:r>
        <w:rPr>
          <w:color w:val="616B80"/>
          <w:sz w:val="17"/>
          <w:szCs w:val="17"/>
        </w:rPr>
        <w:t>Drawn from app/models.py, app/ingest.py, app/metrics_catalog.py and app/main.py, with row counts and foreign keys read from the live MySQL schema on 9 October 2026. Source diagrams: docs/*.svg.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9575E8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Calibri" w:hAnsi="Calibri" w:eastAsia="Calibri" w:cs="Calibri"/>
      <w:sz w:val="21"/>
      <w:szCs w:val="21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Office_12.1.25880.25880_F1E327BC-269C-435d-A152-05C5408002CA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Rajkishore Kumar</dc:creator>
  <cp:lastModifiedBy>nishantketu</cp:lastModifiedBy>
  <dcterms:modified xsi:type="dcterms:W3CDTF">2026-10-13T18:00:29Z</dcterms:modified>
  <dc:title>CMMI Data Repository — Entity Relationship Diagram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1E4F62A8F11C3A2C6524CE6A58B6F771_42</vt:lpwstr>
  </property>
</Properties>
</file>