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A1A40"/>
          <w:sz w:val="30"/>
        </w:rPr>
        <w:t>WESTFIELD HIGH SCHOOL</w:t>
      </w:r>
    </w:p>
    <w:p>
      <w:pPr>
        <w:spacing w:after="40"/>
        <w:jc w:val="center"/>
      </w:pPr>
      <w:r>
        <w:rPr>
          <w:b/>
          <w:color w:val="000000"/>
          <w:sz w:val="26"/>
        </w:rPr>
        <w:t>American Government, 2025 to 2026</w:t>
      </w:r>
    </w:p>
    <w:p>
      <w:pPr>
        <w:spacing w:after="40"/>
      </w:pPr>
      <w:r>
        <w:rPr>
          <w:b w:val="0"/>
          <w:i w:val="0"/>
          <w:sz w:val="22"/>
        </w:rPr>
        <w:t>Instructor: Mr. Henry McMillan    Room 214    Email: hmcmillan@columbus.k12.oh.us</w:t>
      </w:r>
    </w:p>
    <w:p>
      <w:pPr>
        <w:spacing w:after="200"/>
      </w:pPr>
      <w:r>
        <w:rPr>
          <w:b w:val="0"/>
          <w:i w:val="0"/>
          <w:sz w:val="22"/>
        </w:rPr>
        <w:t>Planning period: 5th period. Available before school by 7:15 AM and after practice by appointment.</w:t>
      </w:r>
    </w:p>
    <w:p>
      <w:pPr>
        <w:spacing w:after="120"/>
      </w:pPr>
      <w:r>
        <w:rPr>
          <w:b/>
          <w:color w:val="0A1A40"/>
          <w:sz w:val="24"/>
        </w:rPr>
        <w:t>Course Description</w:t>
      </w:r>
    </w:p>
    <w:p>
      <w:pPr>
        <w:spacing w:after="200"/>
      </w:pPr>
      <w:r>
        <w:rPr>
          <w:b w:val="0"/>
          <w:i w:val="0"/>
          <w:sz w:val="22"/>
        </w:rPr>
        <w:t>This course examines the structure and function of government in the United States, from the founding documents through the institutions that shape daily life. We treat the Constitution as a working document, not a museum piece. The goal is for every student to leave this room able to read a primary source, follow an argument, and understand the rights and duties of a citizen.</w:t>
      </w:r>
    </w:p>
    <w:p>
      <w:pPr>
        <w:spacing w:after="120"/>
      </w:pPr>
      <w:r>
        <w:rPr>
          <w:b/>
          <w:color w:val="0A1A40"/>
          <w:sz w:val="24"/>
        </w:rPr>
        <w:t>Units of Study</w:t>
      </w:r>
    </w:p>
    <w:p>
      <w:pPr>
        <w:spacing w:after="60"/>
      </w:pPr>
      <w:r>
        <w:rPr>
          <w:b w:val="0"/>
          <w:i w:val="0"/>
          <w:sz w:val="22"/>
        </w:rPr>
        <w:t>Unit 1: Foundations and the Founding (Declaration, Articles, Constitutional Convention)</w:t>
      </w:r>
    </w:p>
    <w:p>
      <w:pPr>
        <w:spacing w:after="60"/>
      </w:pPr>
      <w:r>
        <w:rPr>
          <w:b w:val="0"/>
          <w:i w:val="0"/>
          <w:sz w:val="22"/>
        </w:rPr>
        <w:t>Unit 2: The Constitution and Federalism</w:t>
      </w:r>
    </w:p>
    <w:p>
      <w:pPr>
        <w:spacing w:after="60"/>
      </w:pPr>
      <w:r>
        <w:rPr>
          <w:b w:val="0"/>
          <w:i w:val="0"/>
          <w:sz w:val="22"/>
        </w:rPr>
        <w:t>Unit 3: The Three Branches</w:t>
      </w:r>
    </w:p>
    <w:p>
      <w:pPr>
        <w:spacing w:after="60"/>
      </w:pPr>
      <w:r>
        <w:rPr>
          <w:b w:val="0"/>
          <w:i w:val="0"/>
          <w:sz w:val="22"/>
        </w:rPr>
        <w:t>Unit 4: The Bill of Rights and Civil Liberties</w:t>
      </w:r>
    </w:p>
    <w:p>
      <w:pPr>
        <w:spacing w:after="60"/>
      </w:pPr>
      <w:r>
        <w:rPr>
          <w:b w:val="0"/>
          <w:i w:val="0"/>
          <w:sz w:val="22"/>
        </w:rPr>
        <w:t>Unit 5: Civil Rights and the Fourteenth Amendment</w:t>
      </w:r>
    </w:p>
    <w:p>
      <w:pPr>
        <w:spacing w:after="60"/>
      </w:pPr>
      <w:r>
        <w:rPr>
          <w:b w:val="0"/>
          <w:i w:val="0"/>
          <w:sz w:val="22"/>
        </w:rPr>
        <w:t>Unit 6: Elections, Parties, and Participation</w:t>
      </w:r>
    </w:p>
    <w:p>
      <w:pPr>
        <w:spacing w:after="60"/>
      </w:pPr>
      <w:r>
        <w:rPr>
          <w:b w:val="0"/>
          <w:i w:val="0"/>
          <w:sz w:val="22"/>
        </w:rPr>
        <w:t>Unit 7: Public Policy and the Citizen</w:t>
      </w:r>
    </w:p>
    <w:p>
      <w:pPr>
        <w:spacing w:after="120"/>
      </w:pPr>
      <w:r>
        <w:rPr>
          <w:b w:val="0"/>
          <w:i w:val="0"/>
          <w:sz w:val="22"/>
        </w:rPr>
      </w:r>
    </w:p>
    <w:p>
      <w:pPr>
        <w:spacing w:after="120"/>
      </w:pPr>
      <w:r>
        <w:rPr>
          <w:b/>
          <w:color w:val="0A1A40"/>
          <w:sz w:val="24"/>
        </w:rPr>
        <w:t>Grading</w:t>
      </w:r>
    </w:p>
    <w:p>
      <w:pPr>
        <w:spacing w:after="60"/>
      </w:pPr>
      <w:r>
        <w:rPr>
          <w:b w:val="0"/>
          <w:i w:val="0"/>
          <w:sz w:val="22"/>
        </w:rPr>
        <w:t>Tests and projects: 50 percent</w:t>
      </w:r>
    </w:p>
    <w:p>
      <w:pPr>
        <w:spacing w:after="60"/>
      </w:pPr>
      <w:r>
        <w:rPr>
          <w:b w:val="0"/>
          <w:i w:val="0"/>
          <w:sz w:val="22"/>
        </w:rPr>
        <w:t>Quizzes: 20 percent</w:t>
      </w:r>
    </w:p>
    <w:p>
      <w:pPr>
        <w:spacing w:after="60"/>
      </w:pPr>
      <w:r>
        <w:rPr>
          <w:b w:val="0"/>
          <w:i w:val="0"/>
          <w:sz w:val="22"/>
        </w:rPr>
        <w:t>Daily work and primary source analysis: 20 percent</w:t>
      </w:r>
    </w:p>
    <w:p>
      <w:pPr>
        <w:spacing w:after="60"/>
      </w:pPr>
      <w:r>
        <w:rPr>
          <w:b w:val="0"/>
          <w:i w:val="0"/>
          <w:sz w:val="22"/>
        </w:rPr>
        <w:t>Participation: 10 percent</w:t>
      </w:r>
    </w:p>
    <w:p>
      <w:pPr>
        <w:spacing w:after="120"/>
      </w:pPr>
      <w:r>
        <w:rPr>
          <w:b w:val="0"/>
          <w:i w:val="0"/>
          <w:sz w:val="22"/>
        </w:rPr>
      </w:r>
    </w:p>
    <w:p>
      <w:pPr>
        <w:spacing w:after="120"/>
      </w:pPr>
      <w:r>
        <w:rPr>
          <w:b/>
          <w:color w:val="0A1A40"/>
          <w:sz w:val="24"/>
        </w:rPr>
        <w:t>Classroom Expectations</w:t>
      </w:r>
    </w:p>
    <w:p>
      <w:pPr>
        <w:spacing w:after="160"/>
      </w:pPr>
      <w:r>
        <w:rPr>
          <w:b w:val="0"/>
          <w:i w:val="0"/>
          <w:sz w:val="22"/>
        </w:rPr>
        <w:t>Be on time, be prepared, and look people in the eye when you speak to them. Phones go in the wall pocket at the bell. Excuses are not currency in this room. Effort is. If you are struggling, come see me before it becomes a hole you cannot climb out of. I keep my door open.</w:t>
      </w:r>
    </w:p>
    <w:p>
      <w:pPr>
        <w:spacing w:after="200"/>
      </w:pPr>
      <w:r>
        <w:rPr>
          <w:b w:val="0"/>
          <w:i w:val="0"/>
          <w:sz w:val="22"/>
        </w:rPr>
        <w:t>Late work loses ten percent per day up to three days, then it is a conversation, not a zero. I would rather you do it late and learn it than skip it.</w:t>
      </w:r>
    </w:p>
    <w:p>
      <w:pPr>
        <w:spacing w:after="120"/>
      </w:pPr>
      <w:r>
        <w:rPr>
          <w:b/>
          <w:color w:val="0A1A40"/>
          <w:sz w:val="24"/>
        </w:rPr>
        <w:t>A Note From Coach</w:t>
      </w:r>
    </w:p>
    <w:p>
      <w:pPr>
        <w:spacing w:after="80"/>
      </w:pPr>
      <w:r>
        <w:rPr>
          <w:b w:val="0"/>
          <w:i w:val="0"/>
          <w:sz w:val="22"/>
        </w:rPr>
        <w:t>Some of you know me from Friday nights. In here I am your government teacher first. The same rules apply on the field and in this room: show up, do the work, own the result. I look forward to a good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