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A1A"/>
          <w:sz w:val="34"/>
        </w:rPr>
        <w:t>Business Valuation Summary</w:t>
      </w:r>
    </w:p>
    <w:p>
      <w:r>
        <w:rPr>
          <w:i/>
          <w:color w:val="666666"/>
          <w:sz w:val="18"/>
        </w:rPr>
        <w:t>Atkins and Associates Fine Wines. Prepared with Bellevue and Partners, January 2026.</w:t>
      </w:r>
    </w:p>
    <w:p>
      <w:r>
        <w:t>This summary estimates the fair value of Atkins and Associates Fine Wines for planning purposes. It is not a formal appraisal. Owner: Catherine Anne Atkins.</w:t>
      </w:r>
    </w:p>
    <w:p>
      <w:r>
        <w:rPr>
          <w:b/>
          <w:color w:val="5A3A1A"/>
          <w:sz w:val="24"/>
        </w:rPr>
        <w:t>Business Overview</w:t>
      </w:r>
    </w:p>
    <w:p>
      <w:r>
        <w:t>Founded 2010. A wine importer and distributor operating from a converted Victorian at 1224 First Street, Napa, with an attached temperature controlled warehouse. Portfolio of 14 California and Oregon wineries, expanding into Italy. Staff of seven.</w:t>
      </w:r>
    </w:p>
    <w:p>
      <w:r>
        <w:rPr>
          <w:b/>
          <w:color w:val="5A3A1A"/>
          <w:sz w:val="24"/>
        </w:rPr>
        <w:t>Financial Basis</w:t>
      </w:r>
    </w:p>
    <w:p>
      <w:r>
        <w:t>Annual revenue 3.8 million US dollars, growing 12 percent year over year. Inventory on hand averages 420,000, on a 60 day turnover. Warehouse stock and the exclusive Domaine Transport agreement support the distribution model.</w:t>
      </w:r>
    </w:p>
    <w:p>
      <w:r>
        <w:rPr>
          <w:b/>
          <w:color w:val="5A3A1A"/>
          <w:sz w:val="24"/>
        </w:rPr>
        <w:t>Valuation Components</w:t>
      </w:r>
    </w:p>
    <w:p>
      <w:r>
        <w:t>Inventory at cost: approximately 420,000. Distribution contracts and exclusive supplier relationships: a significant share of goodwill, led by the Whitfield Estate agreement and the pending Tenuta Marchetti program. Brand, client list, and licenses, including TTB permit CA-I-21055 and California ABC license 555-0412: the remainder.</w:t>
      </w:r>
    </w:p>
    <w:p>
      <w:r>
        <w:rPr>
          <w:b/>
          <w:color w:val="5A3A1A"/>
          <w:sz w:val="24"/>
        </w:rPr>
        <w:t>Estimated Value</w:t>
      </w:r>
    </w:p>
    <w:p>
      <w:r>
        <w:t>Total estimated value approximately 1.5 million US dollars, inclusive of inventory, contracts, and goodwill. This figure should be revisited once the Italian agreements are signed, as the expanded portfolio is expected to lift both revenue and goodwill.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