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2A1A"/>
          <w:sz w:val="34"/>
        </w:rPr>
        <w:t>Reading List and Notes</w:t>
      </w:r>
    </w:p>
    <w:p>
      <w:r>
        <w:rPr>
          <w:i/>
          <w:color w:val="666666"/>
          <w:sz w:val="18"/>
        </w:rPr>
        <w:t>Personal log. Catherine Anne Atkins.</w:t>
      </w:r>
    </w:p>
    <w:p>
      <w:r>
        <w:rPr>
          <w:b/>
          <w:color w:val="5A3A1A"/>
          <w:sz w:val="24"/>
        </w:rPr>
        <w:t>Currently Reading</w:t>
      </w:r>
    </w:p>
    <w:p>
      <w:r>
        <w:t>The Vintners Gamble, by Rachel Thornton. A family winery saga that reads close to home. The middle chapters on holding nerve through a bad vintage are the best writing on risk I have read outside a balance sheet. Note to recommend it to Brian.</w:t>
      </w:r>
    </w:p>
    <w:p>
      <w:r>
        <w:t>Roots and Harvest, by Daniel Crawford. Slower, more lyrical, about soil and inheritance. Good for the evenings after a long tasting when the head needs to settle.</w:t>
      </w:r>
    </w:p>
    <w:p>
      <w:r>
        <w:rPr>
          <w:b/>
          <w:color w:val="5A3A1A"/>
          <w:sz w:val="24"/>
        </w:rPr>
        <w:t>Finished</w:t>
      </w:r>
    </w:p>
    <w:p>
      <w:r>
        <w:t>A history of Barolo I picked up before the Piedmont planning. Useful background on the cru system ahead of meeting Sofia Marchetti and the other estates.</w:t>
      </w:r>
    </w:p>
    <w:p>
      <w:r>
        <w:rPr>
          <w:b/>
          <w:color w:val="5A3A1A"/>
          <w:sz w:val="24"/>
        </w:rPr>
        <w:t>Periodicals</w:t>
      </w:r>
    </w:p>
    <w:p>
      <w:r>
        <w:t>Vine and Cellar Magazine, every issue. The business was profiled in a recent issue. The Wine Journal for tasting and scores. The Continental Ledger and The Morning Broadsheet for market and tariff news, which matters a great deal right now with European duties uncertain.</w:t>
      </w:r>
    </w:p>
    <w:p>
      <w:r>
        <w:rPr>
          <w:b/>
          <w:color w:val="5A3A1A"/>
          <w:sz w:val="24"/>
        </w:rPr>
        <w:t>To Read Next</w:t>
      </w:r>
    </w:p>
    <w:p>
      <w:r>
        <w:t>Something on Tuscan Sangiovese before the Montalcino leg of the fall trip. Ask David Kim for a recommendation, he always has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