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Migraine Notes for Dr. Ferraro</w:t>
      </w:r>
    </w:p>
    <w:p>
      <w:r>
        <w:rPr>
          <w:color w:val="707070"/>
          <w:sz w:val="18"/>
        </w:rPr>
        <w:t>Prepared by Danny Wells  •  MRN GSN-100482  •  February 2026</w:t>
      </w:r>
    </w:p>
    <w:p>
      <w:r>
        <w:t>Quick prep for the February follow-up so we use the time well. Pulling from the headache diary.</w:t>
      </w:r>
    </w:p>
    <w:p>
      <w:pPr>
        <w:pStyle w:val="Heading2"/>
      </w:pPr>
      <w:r>
        <w:t>Frequency this interval</w:t>
      </w:r>
    </w:p>
    <w:p>
      <w:pPr>
        <w:pStyle w:val="ListBullet"/>
      </w:pPr>
      <w:r>
        <w:t>Averaging 2 to 3 headache days per month, roughly stable.</w:t>
      </w:r>
    </w:p>
    <w:p>
      <w:pPr>
        <w:pStyle w:val="ListBullet"/>
      </w:pPr>
      <w:r>
        <w:t>One aura-only episode in February (no full headache).</w:t>
      </w:r>
    </w:p>
    <w:p>
      <w:pPr>
        <w:pStyle w:val="ListBullet"/>
      </w:pPr>
      <w:r>
        <w:t>Two episodes hit an 8/10; both lasted past 16 hours and needed a dark room.</w:t>
      </w:r>
    </w:p>
    <w:p>
      <w:pPr>
        <w:pStyle w:val="Heading2"/>
      </w:pPr>
      <w:r>
        <w:t>Trigger patterns I'm noticing</w:t>
      </w:r>
    </w:p>
    <w:p>
      <w:pPr>
        <w:pStyle w:val="ListBullet"/>
      </w:pPr>
      <w:r>
        <w:t>Sleep disruption is the biggest one. The 8/10 days both followed short nights.</w:t>
      </w:r>
    </w:p>
    <w:p>
      <w:pPr>
        <w:pStyle w:val="ListBullet"/>
      </w:pPr>
      <w:r>
        <w:t>Weather/barometric drops show up clearly in the log.</w:t>
      </w:r>
    </w:p>
    <w:p>
      <w:pPr>
        <w:pStyle w:val="ListBullet"/>
      </w:pPr>
      <w:r>
        <w:t>One was clearly aged cheese I didn't catch in a dish. Lesson learned.</w:t>
      </w:r>
    </w:p>
    <w:p>
      <w:pPr>
        <w:pStyle w:val="ListBullet"/>
      </w:pPr>
      <w:r>
        <w:t>Trial-prep stress stacks with late-day caffeine, which I've now cut.</w:t>
      </w:r>
    </w:p>
    <w:p>
      <w:pPr>
        <w:pStyle w:val="Heading2"/>
      </w:pPr>
      <w:r>
        <w:t>Medication check</w:t>
      </w:r>
    </w:p>
    <w:p>
      <w:pPr>
        <w:pStyle w:val="ListBullet"/>
      </w:pPr>
      <w:r>
        <w:t>Topiramate 50mg nightly, tolerating it, occasional word-finding fog but manageable.</w:t>
      </w:r>
    </w:p>
    <w:p>
      <w:pPr>
        <w:pStyle w:val="ListBullet"/>
      </w:pPr>
      <w:r>
        <w:t>Sumatriptan working well when I catch the migraine early; less so once it's established.</w:t>
      </w:r>
    </w:p>
    <w:p>
      <w:pPr>
        <w:pStyle w:val="ListBullet"/>
      </w:pPr>
      <w:r>
        <w:t>Continuing magnesium glycinate, CoQ10, vitamin D3.</w:t>
      </w:r>
    </w:p>
    <w:p>
      <w:pPr>
        <w:pStyle w:val="Heading2"/>
      </w:pPr>
      <w:r>
        <w:t>Questions for you</w:t>
      </w:r>
    </w:p>
    <w:p>
      <w:r>
        <w:t>1. At what monthly frequency do you want to pull the trigger on a CGRP inhibitor?</w:t>
      </w:r>
    </w:p>
    <w:p>
      <w:r>
        <w:t>2. If we switch, what's the prior-auth timeline with my plan, and do I taper topiramate or stop?</w:t>
      </w:r>
    </w:p>
    <w:p>
      <w:r>
        <w:t>3. Any concern with topiramate given the fertility treatment? Want to confirm that's been considered.</w:t>
      </w:r>
    </w:p>
    <w:p>
      <w:r>
        <w:t>4. Realistic expectation: how much frequency reduction do your patients typically see on Aimovig?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