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B1C1C"/>
          <w:sz w:val="18"/>
        </w:rPr>
        <w:t>PRIVILEGED AND CONFIDENTIAL, ATTORNEY WORK PRODUCT</w:t>
      </w:r>
    </w:p>
    <w:p>
      <w:r>
        <w:rPr>
          <w:b/>
          <w:sz w:val="30"/>
        </w:rPr>
        <w:t>Oakbridge Law</w:t>
      </w:r>
    </w:p>
    <w:p>
      <w:r>
        <w:rPr>
          <w:color w:val="707070"/>
          <w:sz w:val="18"/>
        </w:rPr>
        <w:t>Commercial Litigation  •  1180 Raymond Blvd, Newark, NJ 07102</w:t>
      </w:r>
    </w:p>
    <w:p/>
    <w:p>
      <w:r>
        <w:rPr>
          <w:b/>
        </w:rPr>
        <w:t>TO:</w:t>
        <w:tab/>
      </w:r>
      <w:r>
        <w:t>Catherine Ware, Supervising Partner</w:t>
      </w:r>
    </w:p>
    <w:p>
      <w:r>
        <w:rPr>
          <w:b/>
        </w:rPr>
        <w:t>FROM:</w:t>
        <w:tab/>
      </w:r>
      <w:r>
        <w:t>Danny Wells, Senior Associate (NJ Bar No. 041862011)</w:t>
      </w:r>
    </w:p>
    <w:p>
      <w:r>
        <w:rPr>
          <w:b/>
        </w:rPr>
        <w:t>DATE:</w:t>
        <w:tab/>
      </w:r>
      <w:r>
        <w:t>February 24, 2026</w:t>
      </w:r>
    </w:p>
    <w:p>
      <w:r>
        <w:rPr>
          <w:b/>
        </w:rPr>
        <w:t>RE:</w:t>
        <w:tab/>
      </w:r>
      <w:r>
        <w:t>Meridian Properties v. Coastal Development, Matter No. 2024-0417</w:t>
      </w:r>
    </w:p>
    <w:p>
      <w:r>
        <w:rPr>
          <w:b/>
        </w:rPr>
        <w:t>SUBJECT:</w:t>
        <w:tab/>
      </w:r>
      <w:r>
        <w:t>Pre-trial strategy and outstanding tasks</w:t>
      </w:r>
    </w:p>
    <w:p>
      <w:r>
        <w:t>______________________________________________________________________</w:t>
      </w:r>
    </w:p>
    <w:p>
      <w:pPr>
        <w:pStyle w:val="Heading2"/>
      </w:pPr>
      <w:r>
        <w:t>I. Status</w:t>
      </w:r>
    </w:p>
    <w:p>
      <w:r>
        <w:t>This is our $4.2M breach-of-contract action arising from Coastal's failure to complete the Phase II buildout on the agreed schedule. Fact discovery closed last quarter. We have completed first-level review of roughly 400 documents (see review tracker) and logged eleven items as privileged. Coastal's motion to compel was denied in part; we produced the project logs but preserved the internal strategy memo and the expert draft as work product.</w:t>
      </w:r>
    </w:p>
    <w:p>
      <w:pPr>
        <w:pStyle w:val="Heading2"/>
      </w:pPr>
      <w:r>
        <w:t>II. Key Issues</w:t>
      </w:r>
    </w:p>
    <w:p>
      <w:pPr>
        <w:pStyle w:val="ListBullet"/>
      </w:pPr>
      <w:r>
        <w:t>Liability turns on whether the September change orders modified the completion deadline or merely the scope. Their custodian's texts (MERI-000205) undercut their oral-modification theory.</w:t>
      </w:r>
    </w:p>
    <w:p>
      <w:pPr>
        <w:pStyle w:val="ListBullet"/>
      </w:pPr>
      <w:r>
        <w:t>Damages: our invoice tie-out (MERI-000159 to 204) supports the full $4.2M, but we should expect a Daubert challenge to the expert's lost-profits methodology.</w:t>
      </w:r>
    </w:p>
    <w:p>
      <w:pPr>
        <w:pStyle w:val="ListBullet"/>
      </w:pPr>
      <w:r>
        <w:t>Coastal will likely argue impossibility based on the supply delays. The email at MERI-000112 is an admission that cuts against that defense.</w:t>
      </w:r>
    </w:p>
    <w:p>
      <w:pPr>
        <w:pStyle w:val="Heading2"/>
      </w:pPr>
      <w:r>
        <w:t>III. Recommended Next Steps</w:t>
      </w:r>
    </w:p>
    <w:p>
      <w:r>
        <w:t>1. Finalize the privilege log and serve by the last week of February.</w:t>
      </w:r>
    </w:p>
    <w:p>
      <w:r>
        <w:t>2. Notice the two remaining depositions (Coastal PM and their damages expert).</w:t>
      </w:r>
    </w:p>
    <w:p>
      <w:r>
        <w:t>3. Begin drafting the motion in limine on the oral-modification testimony.</w:t>
      </w:r>
    </w:p>
    <w:p>
      <w:r>
        <w:t>4. Open the trial-prep workstream in October 2026; build the exhibit list off the reviewed Bates ranges.</w:t>
      </w:r>
    </w:p>
    <w:p>
      <w:r>
        <w:t>5. Schedule a strategy session with you before we approach mediation numbers on the related dissolution matter.</w:t>
      </w:r>
    </w:p>
    <w:p>
      <w:pPr>
        <w:pStyle w:val="Heading2"/>
      </w:pPr>
      <w:r>
        <w:t>IV. Staffing</w:t>
      </w:r>
    </w:p>
    <w:p>
      <w:r>
        <w:t>A. Patel and J. Nguyen continue on document review and cite-checking. I will own the dispositive motions and the expert coordination. Happy to walk through any of this before your Thursday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