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libri" w:hAnsi="Calibri"/>
          <w:color w:val="6A6058"/>
          <w:sz w:val="18"/>
        </w:rPr>
        <w:t>University of Charleston</w:t>
      </w:r>
    </w:p>
    <w:p>
      <w:pPr>
        <w:spacing w:before="40" w:after="0"/>
        <w:jc w:val="center"/>
      </w:pPr>
      <w:r>
        <w:rPr>
          <w:rFonts w:ascii="Calibri" w:hAnsi="Calibri"/>
          <w:b/>
          <w:color w:val="7A5540"/>
          <w:sz w:val="36"/>
        </w:rPr>
        <w:t>ENG-225: Ceramics Studio I</w:t>
      </w:r>
    </w:p>
    <w:p>
      <w:pPr>
        <w:spacing w:before="0" w:after="40"/>
        <w:jc w:val="center"/>
      </w:pPr>
      <w:r>
        <w:rPr>
          <w:rFonts w:ascii="Calibri" w:hAnsi="Calibri"/>
          <w:color w:val="6A6058"/>
          <w:sz w:val="20"/>
        </w:rPr>
        <w:t>Fall 2026   |   Tuesday and Thursday 4:00 - 6:50 PM   |   Art Building Studio 112</w:t>
      </w:r>
    </w:p>
    <w:p>
      <w:pPr>
        <w:pBdr>
          <w:bottom w:val="single" w:sz="6" w:space="1" w:color="7A5540"/>
        </w:pBdr>
        <w:spacing w:before="0" w:after="80"/>
      </w:pPr>
    </w:p>
    <w:p>
      <w:pPr>
        <w:spacing w:before="0" w:after="160"/>
        <w:jc w:val="center"/>
      </w:pPr>
      <w:r>
        <w:rPr>
          <w:rFonts w:ascii="Calibri" w:hAnsi="Calibri"/>
          <w:color w:val="6A6058"/>
          <w:sz w:val="18"/>
        </w:rPr>
        <w:t>Instructor: James A. Wilson   |   james.wilson@ucharleston.edu   |   Office hours by appointment</w:t>
      </w:r>
    </w:p>
    <w:p>
      <w:pPr>
        <w:pStyle w:val="Heading1"/>
        <w:spacing w:before="240" w:after="80"/>
      </w:pPr>
      <w:r>
        <w:rPr>
          <w:color w:val="7A5540"/>
        </w:rPr>
        <w:t>Course Description</w:t>
      </w:r>
    </w:p>
    <w:p>
      <w:pPr>
        <w:spacing w:before="0" w:after="120"/>
        <w:jc w:val="left"/>
      </w:pPr>
      <w:r>
        <w:rPr>
          <w:rFonts w:ascii="Calibri" w:hAnsi="Calibri"/>
          <w:b w:val="0"/>
          <w:i w:val="0"/>
          <w:color w:val="2C2820"/>
          <w:sz w:val="20"/>
        </w:rPr>
        <w:t>ENG-225 introduces students to the fundamental techniques and concepts of ceramic art. Working primarily in stoneware clay, students will learn wheel-throwing and hand-building methods, glaze chemistry and application, and the process of firing work in an electric kiln. The course emphasizes technical skill development within a studio context that also attends to craft traditions, contemporary ceramic practice, and the development of personal voice through making.</w:t>
      </w:r>
    </w:p>
    <w:p>
      <w:pPr>
        <w:pStyle w:val="Heading1"/>
        <w:spacing w:before="240" w:after="80"/>
      </w:pPr>
      <w:r>
        <w:rPr>
          <w:color w:val="7A5540"/>
        </w:rPr>
        <w:t>Learning Outcomes</w:t>
      </w:r>
    </w:p>
    <w:p>
      <w:pPr>
        <w:spacing w:before="0" w:after="40"/>
        <w:jc w:val="left"/>
      </w:pPr>
      <w:r>
        <w:rPr>
          <w:rFonts w:ascii="Calibri" w:hAnsi="Calibri"/>
          <w:b w:val="0"/>
          <w:i w:val="0"/>
          <w:color w:val="2C2820"/>
          <w:sz w:val="20"/>
        </w:rPr>
        <w:t>By the end of this course, students will be able to:</w:t>
      </w:r>
    </w:p>
    <w:p>
      <w:pPr>
        <w:pStyle w:val="ListBullet"/>
        <w:spacing w:before="0" w:after="40"/>
        <w:ind w:left="432"/>
      </w:pPr>
      <w:r>
        <w:rPr>
          <w:rFonts w:ascii="Calibri" w:hAnsi="Calibri"/>
          <w:color w:val="2C2820"/>
          <w:sz w:val="20"/>
        </w:rPr>
        <w:t>Center, open, pull, and trim clay on a pottery wheel with functional consistency</w:t>
      </w:r>
    </w:p>
    <w:p>
      <w:pPr>
        <w:pStyle w:val="ListBullet"/>
        <w:spacing w:before="0" w:after="40"/>
        <w:ind w:left="432"/>
      </w:pPr>
      <w:r>
        <w:rPr>
          <w:rFonts w:ascii="Calibri" w:hAnsi="Calibri"/>
          <w:color w:val="2C2820"/>
          <w:sz w:val="20"/>
        </w:rPr>
        <w:t>Construct forms using slab, coil, and pinch hand-building methods</w:t>
      </w:r>
    </w:p>
    <w:p>
      <w:pPr>
        <w:pStyle w:val="ListBullet"/>
        <w:spacing w:before="0" w:after="40"/>
        <w:ind w:left="432"/>
      </w:pPr>
      <w:r>
        <w:rPr>
          <w:rFonts w:ascii="Calibri" w:hAnsi="Calibri"/>
          <w:color w:val="2C2820"/>
          <w:sz w:val="20"/>
        </w:rPr>
        <w:t>Mix and apply cone 6 glazes, demonstrating understanding of surface and chemistry basics</w:t>
      </w:r>
    </w:p>
    <w:p>
      <w:pPr>
        <w:pStyle w:val="ListBullet"/>
        <w:spacing w:before="0" w:after="40"/>
        <w:ind w:left="432"/>
      </w:pPr>
      <w:r>
        <w:rPr>
          <w:rFonts w:ascii="Calibri" w:hAnsi="Calibri"/>
          <w:color w:val="2C2820"/>
          <w:sz w:val="20"/>
        </w:rPr>
        <w:t>Safely load and fire an electric kiln using a standard cone 6 schedule</w:t>
      </w:r>
    </w:p>
    <w:p>
      <w:pPr>
        <w:pStyle w:val="ListBullet"/>
        <w:spacing w:before="0" w:after="40"/>
        <w:ind w:left="432"/>
      </w:pPr>
      <w:r>
        <w:rPr>
          <w:rFonts w:ascii="Calibri" w:hAnsi="Calibri"/>
          <w:color w:val="2C2820"/>
          <w:sz w:val="20"/>
        </w:rPr>
        <w:t>Articulate the intentions and outcomes of their own ceramic work in critique</w:t>
      </w:r>
    </w:p>
    <w:p>
      <w:pPr>
        <w:pStyle w:val="ListBullet"/>
        <w:spacing w:before="0" w:after="40"/>
        <w:ind w:left="432"/>
      </w:pPr>
      <w:r>
        <w:rPr>
          <w:rFonts w:ascii="Calibri" w:hAnsi="Calibri"/>
          <w:color w:val="2C2820"/>
          <w:sz w:val="20"/>
        </w:rPr>
        <w:t>Discuss ceramic work using appropriate technical and critical vocabulary</w:t>
      </w:r>
    </w:p>
    <w:p>
      <w:pPr>
        <w:pStyle w:val="ListBullet"/>
        <w:spacing w:before="0" w:after="40"/>
        <w:ind w:left="432"/>
      </w:pPr>
      <w:r>
        <w:rPr>
          <w:rFonts w:ascii="Calibri" w:hAnsi="Calibri"/>
          <w:color w:val="2C2820"/>
          <w:sz w:val="20"/>
        </w:rPr>
        <w:t>Develop a cohesive body of work across a semester-long studio practice</w:t>
      </w:r>
    </w:p>
    <w:p>
      <w:pPr>
        <w:pStyle w:val="Heading1"/>
        <w:spacing w:before="240" w:after="80"/>
      </w:pPr>
      <w:r>
        <w:rPr>
          <w:color w:val="7A5540"/>
        </w:rPr>
        <w:t>Required Materials</w:t>
      </w:r>
    </w:p>
    <w:p>
      <w:pPr>
        <w:spacing w:before="0" w:after="40"/>
        <w:jc w:val="left"/>
      </w:pPr>
      <w:r>
        <w:rPr>
          <w:rFonts w:ascii="Calibri" w:hAnsi="Calibri"/>
          <w:b w:val="0"/>
          <w:i w:val="0"/>
          <w:color w:val="2C2820"/>
          <w:sz w:val="20"/>
        </w:rPr>
        <w:t>All clay, glazes, and studio tools are included in the course fee. Students should bring:</w:t>
      </w:r>
    </w:p>
    <w:p>
      <w:pPr>
        <w:pStyle w:val="ListBullet"/>
        <w:spacing w:before="0" w:after="40"/>
        <w:ind w:left="432"/>
      </w:pPr>
      <w:r>
        <w:rPr>
          <w:rFonts w:ascii="Calibri" w:hAnsi="Calibri"/>
          <w:color w:val="2C2820"/>
          <w:sz w:val="20"/>
        </w:rPr>
        <w:t>Apron or clothing you do not mind getting clay on</w:t>
      </w:r>
    </w:p>
    <w:p>
      <w:pPr>
        <w:pStyle w:val="ListBullet"/>
        <w:spacing w:before="0" w:after="40"/>
        <w:ind w:left="432"/>
      </w:pPr>
      <w:r>
        <w:rPr>
          <w:rFonts w:ascii="Calibri" w:hAnsi="Calibri"/>
          <w:color w:val="2C2820"/>
          <w:sz w:val="20"/>
        </w:rPr>
        <w:t>A bucket (2 gallon) and small sponge (can be purchased at the campus bookstore or any hardware store)</w:t>
      </w:r>
    </w:p>
    <w:p>
      <w:pPr>
        <w:pStyle w:val="ListBullet"/>
        <w:spacing w:before="0" w:after="40"/>
        <w:ind w:left="432"/>
      </w:pPr>
      <w:r>
        <w:rPr>
          <w:rFonts w:ascii="Calibri" w:hAnsi="Calibri"/>
          <w:color w:val="2C2820"/>
          <w:sz w:val="20"/>
        </w:rPr>
        <w:t>Notebook for glaze notes, glaze recipes, and process documentation</w:t>
      </w:r>
    </w:p>
    <w:p>
      <w:pPr>
        <w:pStyle w:val="ListBullet"/>
        <w:spacing w:before="0" w:after="40"/>
        <w:ind w:left="432"/>
      </w:pPr>
      <w:r>
        <w:rPr>
          <w:rFonts w:ascii="Calibri" w:hAnsi="Calibri"/>
          <w:color w:val="2C2820"/>
          <w:sz w:val="20"/>
        </w:rPr>
        <w:t>Optional: your own trimming and carving tools (the studio has a full set, but students often prefer their own)</w:t>
      </w:r>
    </w:p>
    <w:p>
      <w:pPr>
        <w:pStyle w:val="Heading1"/>
        <w:spacing w:before="240" w:after="80"/>
      </w:pPr>
      <w:r>
        <w:rPr>
          <w:color w:val="7A5540"/>
        </w:rPr>
        <w:t>Course Schedule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72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Week</w:t>
            </w:r>
          </w:p>
        </w:tc>
        <w:tc>
          <w:tcPr>
            <w:tcW w:type="dxa" w:w="360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Tuesday</w:t>
            </w:r>
          </w:p>
        </w:tc>
        <w:tc>
          <w:tcPr>
            <w:tcW w:type="dxa" w:w="360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Thursday</w:t>
            </w:r>
          </w:p>
        </w:tc>
        <w:tc>
          <w:tcPr>
            <w:tcW w:type="dxa" w:w="288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Assignment Due</w:t>
            </w:r>
          </w:p>
        </w:tc>
      </w:tr>
      <w:tr>
        <w:tc>
          <w:tcPr>
            <w:tcW w:type="dxa" w:w="7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Studio orientation, tool walk-through, clay body intro</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Wedging methods, studio safety, first centering attempts</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r>
          </w:p>
        </w:tc>
      </w:tr>
      <w:tr>
        <w:tc>
          <w:tcPr>
            <w:tcW w:type="dxa" w:w="7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2</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Centering workshop - intensive practice</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Opening and basic cylinder pulling</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10 centered cylinders</w:t>
            </w:r>
          </w:p>
        </w:tc>
      </w:tr>
      <w:tr>
        <w:tc>
          <w:tcPr>
            <w:tcW w:type="dxa" w:w="7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3</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Pulling walls - height and thinning</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Critique of cylinders, form review</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6 cylinders, wall 3/8 in or less</w:t>
            </w:r>
          </w:p>
        </w:tc>
      </w:tr>
      <w:tr>
        <w:tc>
          <w:tcPr>
            <w:tcW w:type="dxa" w:w="7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4</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Trimming and foot rings</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Handle pulling and attachment</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Trim all cylinders, 2 prepped for bisque</w:t>
            </w:r>
          </w:p>
        </w:tc>
      </w:tr>
      <w:tr>
        <w:tc>
          <w:tcPr>
            <w:tcW w:type="dxa" w:w="7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5</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Bowl forms - opening wide, belly</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Bowl refinements, lip finishing</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4 bowls</w:t>
            </w:r>
          </w:p>
        </w:tc>
      </w:tr>
      <w:tr>
        <w:tc>
          <w:tcPr>
            <w:tcW w:type="dxa" w:w="7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6</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Mug forms review, pitcher begins</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Pitcher forms continued</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3 mugs with handles</w:t>
            </w:r>
          </w:p>
        </w:tc>
      </w:tr>
      <w:tr>
        <w:tc>
          <w:tcPr>
            <w:tcW w:type="dxa" w:w="7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7</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First bisque kiln load - class loads together</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Bisque fire runs, glaze lecture intro</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Load complete</w:t>
            </w:r>
          </w:p>
        </w:tc>
      </w:tr>
      <w:tr>
        <w:tc>
          <w:tcPr>
            <w:tcW w:type="dxa" w:w="7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8</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Midterm critique - all bisqued work</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Midterm critique continued</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Written self-assessment due</w:t>
            </w:r>
          </w:p>
        </w:tc>
      </w:tr>
      <w:tr>
        <w:tc>
          <w:tcPr>
            <w:tcW w:type="dxa" w:w="7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9</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chemistry: the triaxial, flux, silica, alumina</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mixing lab - 2 test batches</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2 test glazes mixed</w:t>
            </w:r>
          </w:p>
        </w:tc>
      </w:tr>
      <w:tr>
        <w:tc>
          <w:tcPr>
            <w:tcW w:type="dxa" w:w="7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10</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application: dip, brush, wax resist, layering</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all midterm pieces</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Pieces glazed</w:t>
            </w:r>
          </w:p>
        </w:tc>
      </w:tr>
      <w:tr>
        <w:tc>
          <w:tcPr>
            <w:tcW w:type="dxa" w:w="7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11</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kiln load - class loads together</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fire runs; hand-building intro</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Load complete</w:t>
            </w:r>
          </w:p>
        </w:tc>
      </w:tr>
      <w:tr>
        <w:tc>
          <w:tcPr>
            <w:tcW w:type="dxa" w:w="7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12</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Unload and assess glaze results, slab work begins</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Slab construction continued</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Slab box or tile series</w:t>
            </w:r>
          </w:p>
        </w:tc>
      </w:tr>
      <w:tr>
        <w:tc>
          <w:tcPr>
            <w:tcW w:type="dxa" w:w="7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13</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Coil and pinch techniques</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Coil vessel continued</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Coil vessel</w:t>
            </w:r>
          </w:p>
        </w:tc>
      </w:tr>
      <w:tr>
        <w:tc>
          <w:tcPr>
            <w:tcW w:type="dxa" w:w="7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14</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Open studio - final production, instructor rounds</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Open studio continued</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All pieces to leather-hard</w:t>
            </w:r>
          </w:p>
        </w:tc>
      </w:tr>
      <w:tr>
        <w:tc>
          <w:tcPr>
            <w:tcW w:type="dxa" w:w="7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15</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Second bisque and glaze load - student-led</w:t>
            </w:r>
          </w:p>
        </w:tc>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fire</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Student-led load</w:t>
            </w:r>
          </w:p>
        </w:tc>
      </w:tr>
      <w:tr>
        <w:tc>
          <w:tcPr>
            <w:tcW w:type="dxa" w:w="7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16</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Final critique - full group</w:t>
            </w:r>
          </w:p>
        </w:tc>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Final critique continued, grades discussion</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Portfolio + 500-word reflection</w:t>
            </w:r>
          </w:p>
        </w:tc>
      </w:tr>
    </w:tbl>
    <w:p>
      <w:pPr>
        <w:pStyle w:val="Heading1"/>
        <w:spacing w:before="240" w:after="80"/>
      </w:pPr>
      <w:r>
        <w:rPr>
          <w:color w:val="7A5540"/>
        </w:rPr>
        <w:t>Grading</w:t>
      </w:r>
    </w:p>
    <w:tbl>
      <w:tblPr>
        <w:tblStyle w:val="TableGrid"/>
        <w:tblW w:type="auto" w:w="0"/>
        <w:jc w:val="center"/>
        <w:tblLook w:firstColumn="1" w:firstRow="1" w:lastColumn="0" w:lastRow="0" w:noHBand="0" w:noVBand="1" w:val="04A0"/>
      </w:tblPr>
      <w:tblGrid>
        <w:gridCol w:w="2928"/>
        <w:gridCol w:w="2928"/>
        <w:gridCol w:w="2928"/>
      </w:tblGrid>
      <w:tr>
        <w:tc>
          <w:tcPr>
            <w:tcW w:type="dxa" w:w="360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Component</w:t>
            </w:r>
          </w:p>
        </w:tc>
        <w:tc>
          <w:tcPr>
            <w:tcW w:type="dxa" w:w="1152"/>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Points</w:t>
            </w:r>
          </w:p>
        </w:tc>
        <w:tc>
          <w:tcPr>
            <w:tcW w:type="dxa" w:w="6048"/>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Description</w:t>
            </w:r>
          </w:p>
        </w:tc>
      </w:tr>
      <w:tr>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Project 1: Cylinders and Bowls</w:t>
            </w:r>
          </w:p>
        </w:tc>
        <w:tc>
          <w:tcPr>
            <w:tcW w:type="dxa" w:w="1152"/>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30</w:t>
            </w:r>
          </w:p>
        </w:tc>
        <w:tc>
          <w:tcPr>
            <w:tcW w:type="dxa" w:w="6048"/>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Technical completion, wall consistency, form quality</w:t>
            </w:r>
          </w:p>
        </w:tc>
      </w:tr>
      <w:tr>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Project 2: Mugs and Handles</w:t>
            </w:r>
          </w:p>
        </w:tc>
        <w:tc>
          <w:tcPr>
            <w:tcW w:type="dxa" w:w="1152"/>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30</w:t>
            </w:r>
          </w:p>
        </w:tc>
        <w:tc>
          <w:tcPr>
            <w:tcW w:type="dxa" w:w="6048"/>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Handle attachment, proportions, surface quality</w:t>
            </w:r>
          </w:p>
        </w:tc>
      </w:tr>
      <w:tr>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Midterm Critique</w:t>
            </w:r>
          </w:p>
        </w:tc>
        <w:tc>
          <w:tcPr>
            <w:tcW w:type="dxa" w:w="1152"/>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50</w:t>
            </w:r>
          </w:p>
        </w:tc>
        <w:tc>
          <w:tcPr>
            <w:tcW w:type="dxa" w:w="6048"/>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Portfolio presentation and written self-assessment</w:t>
            </w:r>
          </w:p>
        </w:tc>
      </w:tr>
      <w:tr>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Project 3: Hand-Building</w:t>
            </w:r>
          </w:p>
        </w:tc>
        <w:tc>
          <w:tcPr>
            <w:tcW w:type="dxa" w:w="1152"/>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30</w:t>
            </w:r>
          </w:p>
        </w:tc>
        <w:tc>
          <w:tcPr>
            <w:tcW w:type="dxa" w:w="6048"/>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Construction quality, joinery, concept follow-through</w:t>
            </w:r>
          </w:p>
        </w:tc>
      </w:tr>
      <w:tr>
        <w:tc>
          <w:tcPr>
            <w:tcW w:type="dxa" w:w="360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Final Portfolio</w:t>
            </w:r>
          </w:p>
        </w:tc>
        <w:tc>
          <w:tcPr>
            <w:tcW w:type="dxa" w:w="1152"/>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100</w:t>
            </w:r>
          </w:p>
        </w:tc>
        <w:tc>
          <w:tcPr>
            <w:tcW w:type="dxa" w:w="6048"/>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Cohesive selection of 6 to 8 pieces, glaze quality, growth</w:t>
            </w:r>
          </w:p>
        </w:tc>
      </w:tr>
      <w:tr>
        <w:tc>
          <w:tcPr>
            <w:tcW w:type="dxa" w:w="36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Participation and Engagement</w:t>
            </w:r>
          </w:p>
        </w:tc>
        <w:tc>
          <w:tcPr>
            <w:tcW w:type="dxa" w:w="1152"/>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20</w:t>
            </w:r>
          </w:p>
        </w:tc>
        <w:tc>
          <w:tcPr>
            <w:tcW w:type="dxa" w:w="6048"/>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Studio presence, critique contribution, peer engagement</w:t>
            </w:r>
          </w:p>
        </w:tc>
      </w:tr>
      <w:tr>
        <w:tc>
          <w:tcPr>
            <w:tcW w:type="dxa" w:w="3600"/>
            <w:shd w:val="clear" w:color="auto" w:fill="F7F2EA"/>
            <w:tcBorders>
              <w:top w:val="single" w:sz="4" w:space="0" w:color="7A5540"/>
              <w:left w:val="single" w:sz="4" w:space="0" w:color="7A5540"/>
              <w:bottom w:val="single" w:sz="4" w:space="0" w:color="7A5540"/>
              <w:right w:val="single" w:sz="4" w:space="0" w:color="7A5540"/>
            </w:tcBorders>
            <w:shd w:val="clear" w:color="auto" w:fill="EDE0CC"/>
          </w:tcPr>
          <w:p>
            <w:r>
              <w:rPr>
                <w:rFonts w:ascii="Calibri" w:hAnsi="Calibri"/>
                <w:b/>
                <w:color w:val="2C2820"/>
                <w:sz w:val="18"/>
              </w:rPr>
              <w:t>TOTAL</w:t>
            </w:r>
          </w:p>
        </w:tc>
        <w:tc>
          <w:tcPr>
            <w:tcW w:type="dxa" w:w="1152"/>
            <w:shd w:val="clear" w:color="auto" w:fill="F7F2EA"/>
            <w:tcBorders>
              <w:top w:val="single" w:sz="4" w:space="0" w:color="7A5540"/>
              <w:left w:val="single" w:sz="4" w:space="0" w:color="7A5540"/>
              <w:bottom w:val="single" w:sz="4" w:space="0" w:color="7A5540"/>
              <w:right w:val="single" w:sz="4" w:space="0" w:color="7A5540"/>
            </w:tcBorders>
            <w:shd w:val="clear" w:color="auto" w:fill="EDE0CC"/>
          </w:tcPr>
          <w:p>
            <w:r>
              <w:rPr>
                <w:rFonts w:ascii="Calibri" w:hAnsi="Calibri"/>
                <w:b/>
                <w:color w:val="2C2820"/>
                <w:sz w:val="18"/>
              </w:rPr>
              <w:t>260</w:t>
            </w:r>
          </w:p>
        </w:tc>
        <w:tc>
          <w:tcPr>
            <w:tcW w:type="dxa" w:w="6048"/>
            <w:shd w:val="clear" w:color="auto" w:fill="F7F2EA"/>
            <w:tcBorders>
              <w:top w:val="single" w:sz="4" w:space="0" w:color="7A5540"/>
              <w:left w:val="single" w:sz="4" w:space="0" w:color="7A5540"/>
              <w:bottom w:val="single" w:sz="4" w:space="0" w:color="7A5540"/>
              <w:right w:val="single" w:sz="4" w:space="0" w:color="7A5540"/>
            </w:tcBorders>
            <w:shd w:val="clear" w:color="auto" w:fill="EDE0CC"/>
          </w:tcPr>
          <w:p>
            <w:r>
              <w:rPr>
                <w:rFonts w:ascii="Calibri" w:hAnsi="Calibri"/>
                <w:b/>
                <w:color w:val="2C2820"/>
                <w:sz w:val="18"/>
              </w:rPr>
            </w:r>
          </w:p>
        </w:tc>
      </w:tr>
    </w:tbl>
    <w:p>
      <w:pPr>
        <w:pStyle w:val="Heading1"/>
        <w:spacing w:before="240" w:after="80"/>
      </w:pPr>
      <w:r>
        <w:rPr>
          <w:color w:val="7A5540"/>
        </w:rPr>
        <w:t>Studio Policies</w:t>
      </w:r>
    </w:p>
    <w:p>
      <w:pPr>
        <w:spacing w:before="0" w:after="80"/>
      </w:pPr>
      <w:r>
        <w:rPr>
          <w:rFonts w:ascii="Calibri" w:hAnsi="Calibri"/>
          <w:b/>
          <w:color w:val="7A5540"/>
          <w:sz w:val="20"/>
        </w:rPr>
        <w:t xml:space="preserve">Attendance: </w:t>
      </w:r>
      <w:r>
        <w:rPr>
          <w:rFonts w:ascii="Calibri" w:hAnsi="Calibri"/>
          <w:sz w:val="20"/>
        </w:rPr>
        <w:t>Ceramics is a physical discipline. Missing class means missing time in contact with the material, which cannot be fully made up. More than two absences will affect your grade. Please notify me before class if you cannot attend.</w:t>
      </w:r>
    </w:p>
    <w:p>
      <w:pPr>
        <w:spacing w:before="0" w:after="80"/>
      </w:pPr>
      <w:r>
        <w:rPr>
          <w:rFonts w:ascii="Calibri" w:hAnsi="Calibri"/>
          <w:b/>
          <w:color w:val="7A5540"/>
          <w:sz w:val="20"/>
        </w:rPr>
        <w:t xml:space="preserve">Clay reclaim: </w:t>
      </w:r>
      <w:r>
        <w:rPr>
          <w:rFonts w:ascii="Calibri" w:hAnsi="Calibri"/>
          <w:sz w:val="20"/>
        </w:rPr>
        <w:t>All scraps of workable clay go in the reclaim bucket. Bone-dry or fired clay does not reclaim - those go in the trash. Please keep the studio loop clean.</w:t>
      </w:r>
    </w:p>
    <w:p>
      <w:pPr>
        <w:spacing w:before="0" w:after="80"/>
      </w:pPr>
      <w:r>
        <w:rPr>
          <w:rFonts w:ascii="Calibri" w:hAnsi="Calibri"/>
          <w:b/>
          <w:color w:val="7A5540"/>
          <w:sz w:val="20"/>
        </w:rPr>
        <w:t xml:space="preserve">Tool care: </w:t>
      </w:r>
      <w:r>
        <w:rPr>
          <w:rFonts w:ascii="Calibri" w:hAnsi="Calibri"/>
          <w:sz w:val="20"/>
        </w:rPr>
        <w:t>All studio tools must be returned clean to their location. Broken tools should be reported so they can be replaced.</w:t>
      </w:r>
    </w:p>
    <w:p>
      <w:pPr>
        <w:spacing w:before="0" w:after="80"/>
      </w:pPr>
      <w:r>
        <w:rPr>
          <w:rFonts w:ascii="Calibri" w:hAnsi="Calibri"/>
          <w:b/>
          <w:color w:val="7A5540"/>
          <w:sz w:val="20"/>
        </w:rPr>
        <w:t xml:space="preserve">Photography: </w:t>
      </w:r>
      <w:r>
        <w:rPr>
          <w:rFonts w:ascii="Calibri" w:hAnsi="Calibri"/>
          <w:sz w:val="20"/>
        </w:rPr>
        <w:t>You are encouraged to document your work at all stages. The studio has good north light most of the year. A drying shelf photo does not substitute for a final photo, but the process documentation is valuable.</w:t>
      </w:r>
    </w:p>
    <w:p>
      <w:pPr>
        <w:spacing w:before="0" w:after="80"/>
      </w:pPr>
      <w:r>
        <w:rPr>
          <w:rFonts w:ascii="Calibri" w:hAnsi="Calibri"/>
          <w:b/>
          <w:color w:val="7A5540"/>
          <w:sz w:val="20"/>
        </w:rPr>
        <w:t xml:space="preserve">Kiln access: </w:t>
      </w:r>
      <w:r>
        <w:rPr>
          <w:rFonts w:ascii="Calibri" w:hAnsi="Calibri"/>
          <w:sz w:val="20"/>
        </w:rPr>
        <w:t>Students do not operate the kiln independently until explicitly cleared. Kiln loads are done as a class exercise, supervised.</w:t>
      </w:r>
    </w:p>
    <w:p>
      <w:pPr>
        <w:spacing w:before="0" w:after="80"/>
      </w:pPr>
      <w:r>
        <w:rPr>
          <w:rFonts w:ascii="Calibri" w:hAnsi="Calibri"/>
          <w:b/>
          <w:color w:val="7A5540"/>
          <w:sz w:val="20"/>
        </w:rPr>
        <w:t xml:space="preserve">AI tools: </w:t>
      </w:r>
      <w:r>
        <w:rPr>
          <w:rFonts w:ascii="Calibri" w:hAnsi="Calibri"/>
          <w:sz w:val="20"/>
        </w:rPr>
        <w:t>AI image generation and AI-written critique language are not appropriate for this course. The goal is to develop your own eye and voice through direct engagement with the material. If you are uncertain, ask.</w:t>
      </w:r>
    </w:p>
    <w:p>
      <w:pPr>
        <w:pStyle w:val="Heading1"/>
        <w:spacing w:before="240" w:after="80"/>
      </w:pPr>
      <w:r>
        <w:rPr>
          <w:color w:val="7A5540"/>
        </w:rPr>
        <w:t>Academic Integrity</w:t>
      </w:r>
    </w:p>
    <w:p>
      <w:pPr>
        <w:spacing w:before="0" w:after="120"/>
        <w:jc w:val="left"/>
      </w:pPr>
      <w:r>
        <w:rPr>
          <w:rFonts w:ascii="Calibri" w:hAnsi="Calibri"/>
          <w:b w:val="0"/>
          <w:i w:val="0"/>
          <w:color w:val="2C2820"/>
          <w:sz w:val="20"/>
        </w:rPr>
        <w:t>Students are expected to follow the University of Charleston Academic Integrity Policy. Ceramics is a making discipline - your work must be your own. Critique responses must be your own assessment in your own words.</w:t>
      </w:r>
    </w:p>
    <w:p>
      <w:pPr>
        <w:pStyle w:val="Heading1"/>
        <w:spacing w:before="240" w:after="80"/>
      </w:pPr>
      <w:r>
        <w:rPr>
          <w:color w:val="7A5540"/>
        </w:rPr>
        <w:t>Accommodation and Access</w:t>
      </w:r>
    </w:p>
    <w:p>
      <w:pPr>
        <w:spacing w:before="0" w:after="120"/>
        <w:jc w:val="left"/>
      </w:pPr>
      <w:r>
        <w:rPr>
          <w:rFonts w:ascii="Calibri" w:hAnsi="Calibri"/>
          <w:b w:val="0"/>
          <w:i w:val="0"/>
          <w:color w:val="2C2820"/>
          <w:sz w:val="20"/>
        </w:rPr>
        <w:t>Students who require accommodations under the Americans with Disabilities Act should contact the University of Charleston Office of Student Accessibility Services and provide documentation to the instructor within the first two weeks of class. I am committed to making this studio accessible and will work with you on any adjustments needed.</w:t>
      </w:r>
    </w:p>
    <w:p>
      <w:pPr>
        <w:pBdr>
          <w:bottom w:val="single" w:sz="6" w:space="1" w:color="7A5540"/>
        </w:pBdr>
        <w:spacing w:before="0" w:after="80"/>
      </w:pPr>
    </w:p>
    <w:p>
      <w:pPr>
        <w:jc w:val="center"/>
      </w:pPr>
      <w:r>
        <w:rPr>
          <w:rFonts w:ascii="Calibri" w:hAnsi="Calibri"/>
          <w:color w:val="6A6058"/>
          <w:sz w:val="16"/>
        </w:rPr>
        <w:t>Wilson Ceramics Studio  |  208 Capitol Street  |  Charleston WV 25301  |  james.wilson.chas@gmail.com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A55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