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b/>
          <w:color w:val="6A6058"/>
          <w:sz w:val="18"/>
        </w:rPr>
        <w:t>COMMISSION PROPOSAL</w:t>
      </w:r>
    </w:p>
    <w:p>
      <w:pPr>
        <w:spacing w:before="80" w:after="0"/>
        <w:jc w:val="left"/>
      </w:pPr>
      <w:r>
        <w:rPr>
          <w:rFonts w:ascii="Calibri" w:hAnsi="Calibri"/>
          <w:b/>
          <w:color w:val="7A5540"/>
          <w:sz w:val="36"/>
        </w:rPr>
        <w:t>12-Piece Dinnerware Set</w:t>
      </w:r>
    </w:p>
    <w:p>
      <w:pPr>
        <w:spacing w:before="0" w:after="160"/>
      </w:pPr>
      <w:r>
        <w:rPr>
          <w:rFonts w:ascii="Calibri" w:hAnsi="Calibri"/>
          <w:color w:val="6A6058"/>
          <w:sz w:val="18"/>
        </w:rPr>
        <w:t>Wilson Ceramics   |   208 Capitol Street, Charleston WV 25301   |   james.wilson.chas@gmail.com</w:t>
      </w:r>
    </w:p>
    <w:p>
      <w:pPr>
        <w:pBdr>
          <w:bottom w:val="single" w:sz="6" w:space="1" w:color="7A5540"/>
        </w:pBdr>
        <w:spacing w:before="0" w:after="80"/>
      </w:pPr>
    </w:p>
    <w:p>
      <w:pPr>
        <w:pStyle w:val="Heading2"/>
        <w:spacing w:before="200" w:after="80"/>
      </w:pPr>
      <w:r>
        <w:rPr>
          <w:color w:val="7A5540"/>
        </w:rPr>
        <w:t>Parties</w:t>
      </w:r>
    </w:p>
    <w:tbl>
      <w:tblPr>
        <w:tblStyle w:val="TableGrid"/>
        <w:tblW w:type="auto" w:w="0"/>
        <w:jc w:val="center"/>
        <w:tblLook w:firstColumn="1" w:firstRow="1" w:lastColumn="0" w:lastRow="0" w:noHBand="0" w:noVBand="1" w:val="04A0"/>
      </w:tblPr>
      <w:tblGrid>
        <w:gridCol w:w="4392"/>
        <w:gridCol w:w="4392"/>
      </w:tblGrid>
      <w:tr>
        <w:tc>
          <w:tcPr>
            <w:tcW w:type="dxa" w:w="216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r>
          </w:p>
        </w:tc>
        <w:tc>
          <w:tcPr>
            <w:tcW w:type="dxa" w:w="864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Details</w:t>
            </w:r>
          </w:p>
        </w:tc>
      </w:tr>
      <w:tr>
        <w:tc>
          <w:tcPr>
            <w:tcW w:type="dxa" w:w="216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Studio</w:t>
            </w:r>
          </w:p>
        </w:tc>
        <w:tc>
          <w:tcPr>
            <w:tcW w:type="dxa" w:w="864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Wilson Ceramics, James A. Wilson, 208 Capitol Street, Charleston WV 25301</w:t>
            </w:r>
          </w:p>
        </w:tc>
      </w:tr>
      <w:tr>
        <w:tc>
          <w:tcPr>
            <w:tcW w:type="dxa" w:w="216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Client</w:t>
            </w:r>
          </w:p>
        </w:tc>
        <w:tc>
          <w:tcPr>
            <w:tcW w:type="dxa" w:w="864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Marco Holcomb, 118 Delaware Avenue, Charleston WV 25302</w:t>
            </w:r>
          </w:p>
        </w:tc>
      </w:tr>
      <w:tr>
        <w:tc>
          <w:tcPr>
            <w:tcW w:type="dxa" w:w="216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Proposal date</w:t>
            </w:r>
          </w:p>
        </w:tc>
        <w:tc>
          <w:tcPr>
            <w:tcW w:type="dxa" w:w="864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November 8 2025</w:t>
            </w:r>
          </w:p>
        </w:tc>
      </w:tr>
      <w:tr>
        <w:tc>
          <w:tcPr>
            <w:tcW w:type="dxa" w:w="216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Reference</w:t>
            </w:r>
          </w:p>
        </w:tc>
        <w:tc>
          <w:tcPr>
            <w:tcW w:type="dxa" w:w="864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COM-2025-007</w:t>
            </w:r>
          </w:p>
        </w:tc>
      </w:tr>
    </w:tbl>
    <w:p>
      <w:pPr>
        <w:pStyle w:val="Heading2"/>
        <w:spacing w:before="200" w:after="80"/>
      </w:pPr>
      <w:r>
        <w:rPr>
          <w:color w:val="7A5540"/>
        </w:rPr>
        <w:t>Scope of Work</w:t>
      </w:r>
    </w:p>
    <w:p>
      <w:pPr>
        <w:spacing w:before="0" w:after="120"/>
        <w:jc w:val="left"/>
      </w:pPr>
      <w:r>
        <w:rPr>
          <w:rFonts w:ascii="Calibri" w:hAnsi="Calibri"/>
          <w:b w:val="0"/>
          <w:i w:val="0"/>
          <w:color w:val="2C2820"/>
          <w:sz w:val="20"/>
        </w:rPr>
        <w:t>Wilson Ceramics will produce a 12-piece hand-thrown stoneware dinnerware set comprising the pieces listed below. All pieces will be thrown on the wheel, trimmed, bisque-fired, glazed by hand, and glaze-fired to cone 6 in the studio's Skutt electric kiln. The glaze will be a linen satin matte, a warm neutral developed and tested in the studio that is dishwasher-safe, microwave-safe, and food-safe.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88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Piece</w:t>
            </w:r>
          </w:p>
        </w:tc>
        <w:tc>
          <w:tcPr>
            <w:tcW w:type="dxa" w:w="864"/>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Qty</w:t>
            </w:r>
          </w:p>
        </w:tc>
        <w:tc>
          <w:tcPr>
            <w:tcW w:type="dxa" w:w="288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Approximate Diameter</w:t>
            </w:r>
          </w:p>
        </w:tc>
        <w:tc>
          <w:tcPr>
            <w:tcW w:type="dxa" w:w="432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Notes</w:t>
            </w:r>
          </w:p>
        </w:tc>
      </w:tr>
      <w:tr>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Dinner plate</w:t>
            </w:r>
          </w:p>
        </w:tc>
        <w:tc>
          <w:tcPr>
            <w:tcW w:type="dxa" w:w="864"/>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4</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10 inches</w:t>
            </w:r>
          </w:p>
        </w:tc>
        <w:tc>
          <w:tcPr>
            <w:tcW w:type="dxa" w:w="43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Shallow well, raised rim, foot ring</w:t>
            </w:r>
          </w:p>
        </w:tc>
      </w:tr>
      <w:tr>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Salad / appetizer plate</w:t>
            </w:r>
          </w:p>
        </w:tc>
        <w:tc>
          <w:tcPr>
            <w:tcW w:type="dxa" w:w="864"/>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4</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8 inches</w:t>
            </w:r>
          </w:p>
        </w:tc>
        <w:tc>
          <w:tcPr>
            <w:tcW w:type="dxa" w:w="43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Matching profile, slightly lower rim</w:t>
            </w:r>
          </w:p>
        </w:tc>
      </w:tr>
      <w:tr>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Cereal bowl</w:t>
            </w:r>
          </w:p>
        </w:tc>
        <w:tc>
          <w:tcPr>
            <w:tcW w:type="dxa" w:w="864"/>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4</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6 inches wide, 3 inches deep</w:t>
            </w:r>
          </w:p>
        </w:tc>
        <w:tc>
          <w:tcPr>
            <w:tcW w:type="dxa" w:w="43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Rounded form, generous lip</w:t>
            </w:r>
          </w:p>
        </w:tc>
      </w:tr>
    </w:tbl>
    <w:p>
      <w:pPr>
        <w:pStyle w:val="Heading2"/>
        <w:spacing w:before="200" w:after="80"/>
      </w:pPr>
      <w:r>
        <w:rPr>
          <w:color w:val="7A5540"/>
        </w:rPr>
        <w:t>Glaze Specification</w:t>
      </w:r>
    </w:p>
    <w:p>
      <w:pPr>
        <w:spacing w:before="0" w:after="40"/>
        <w:jc w:val="left"/>
      </w:pPr>
      <w:r>
        <w:rPr>
          <w:rFonts w:ascii="Calibri" w:hAnsi="Calibri"/>
          <w:b/>
          <w:i w:val="0"/>
          <w:color w:val="2C2820"/>
          <w:sz w:val="20"/>
        </w:rPr>
        <w:t>Glaze: Linen Satin Matte</w:t>
      </w:r>
    </w:p>
    <w:p>
      <w:pPr>
        <w:spacing w:before="0" w:after="80"/>
        <w:jc w:val="left"/>
      </w:pPr>
      <w:r>
        <w:rPr>
          <w:rFonts w:ascii="Calibri" w:hAnsi="Calibri"/>
          <w:b w:val="0"/>
          <w:i w:val="0"/>
          <w:color w:val="2C2820"/>
          <w:sz w:val="20"/>
        </w:rPr>
        <w:t>A cone 6 satin matte in a warm off-white with slight warmth. Surface texture is smooth with low sheen. The glaze does not show significant movement or pooling. Color is consistent piece to piece with minor natural variation due to clay body, kiln position, and kiln atmosphere, which is characteristic of hand-glazed work. A glaze tile sample will be fired and reviewed with the client before full production begins.</w:t>
      </w:r>
    </w:p>
    <w:p>
      <w:pPr>
        <w:pStyle w:val="Heading2"/>
        <w:spacing w:before="200" w:after="80"/>
      </w:pPr>
      <w:r>
        <w:rPr>
          <w:color w:val="7A5540"/>
        </w:rPr>
        <w:t>Production Timeline</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Phase</w:t>
            </w:r>
          </w:p>
        </w:tc>
        <w:tc>
          <w:tcPr>
            <w:tcW w:type="dxa" w:w="288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Estimated Timing</w:t>
            </w:r>
          </w:p>
        </w:tc>
        <w:tc>
          <w:tcPr>
            <w:tcW w:type="dxa" w:w="504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Description</w:t>
            </w:r>
          </w:p>
        </w:tc>
      </w:tr>
      <w:tr>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Contract and deposit</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November 10 2025</w:t>
            </w:r>
          </w:p>
        </w:tc>
        <w:tc>
          <w:tcPr>
            <w:tcW w:type="dxa" w:w="504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Signed contract, 50% deposit received</w:t>
            </w:r>
          </w:p>
        </w:tc>
      </w:tr>
      <w:tr>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sample tile</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November 12-20 2025</w:t>
            </w:r>
          </w:p>
        </w:tc>
        <w:tc>
          <w:tcPr>
            <w:tcW w:type="dxa" w:w="504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Tile fired, reviewed, and approved by client</w:t>
            </w:r>
          </w:p>
        </w:tc>
      </w:tr>
      <w:tr>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Throwing</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November 2025 - January 2026</w:t>
            </w:r>
          </w:p>
        </w:tc>
        <w:tc>
          <w:tcPr>
            <w:tcW w:type="dxa" w:w="504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All 12 pieces thrown on the wheel</w:t>
            </w:r>
          </w:p>
        </w:tc>
      </w:tr>
      <w:tr>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Drying and trimming</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Concurrent</w:t>
            </w:r>
          </w:p>
        </w:tc>
        <w:tc>
          <w:tcPr>
            <w:tcW w:type="dxa" w:w="504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Pieces dry slowly, trimmed at leather-hard</w:t>
            </w:r>
          </w:p>
        </w:tc>
      </w:tr>
      <w:tr>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Bisque firing</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January 2026</w:t>
            </w:r>
          </w:p>
        </w:tc>
        <w:tc>
          <w:tcPr>
            <w:tcW w:type="dxa" w:w="504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Full kiln load for bisque</w:t>
            </w:r>
          </w:p>
        </w:tc>
      </w:tr>
      <w:tr>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application</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Late January 2026</w:t>
            </w:r>
          </w:p>
        </w:tc>
        <w:tc>
          <w:tcPr>
            <w:tcW w:type="dxa" w:w="504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All pieces hand-glazed in linen satin</w:t>
            </w:r>
          </w:p>
        </w:tc>
      </w:tr>
      <w:tr>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firing</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Early February 2026</w:t>
            </w:r>
          </w:p>
        </w:tc>
        <w:tc>
          <w:tcPr>
            <w:tcW w:type="dxa" w:w="504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Glaze fire FIR-2026-004</w:t>
            </w:r>
          </w:p>
        </w:tc>
      </w:tr>
      <w:tr>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Inspection and wrap</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February 2026</w:t>
            </w:r>
          </w:p>
        </w:tc>
        <w:tc>
          <w:tcPr>
            <w:tcW w:type="dxa" w:w="504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Quality review, packaging</w:t>
            </w:r>
          </w:p>
        </w:tc>
      </w:tr>
      <w:tr>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Delivery or pickup</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February 2026</w:t>
            </w:r>
          </w:p>
        </w:tc>
        <w:tc>
          <w:tcPr>
            <w:tcW w:type="dxa" w:w="504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Studio pickup in Charleston or UPS ship</w:t>
            </w:r>
          </w:p>
        </w:tc>
      </w:tr>
    </w:tbl>
    <w:p>
      <w:pPr>
        <w:pStyle w:val="Heading2"/>
        <w:spacing w:before="200" w:after="80"/>
      </w:pPr>
      <w:r>
        <w:rPr>
          <w:color w:val="7A5540"/>
        </w:rPr>
        <w:t>Pricing</w:t>
      </w:r>
    </w:p>
    <w:tbl>
      <w:tblPr>
        <w:tblStyle w:val="TableGrid"/>
        <w:tblW w:type="auto" w:w="0"/>
        <w:jc w:val="center"/>
        <w:tblLook w:firstColumn="1" w:firstRow="1" w:lastColumn="0" w:lastRow="0" w:noHBand="0" w:noVBand="1" w:val="04A0"/>
      </w:tblPr>
      <w:tblGrid>
        <w:gridCol w:w="4392"/>
        <w:gridCol w:w="4392"/>
      </w:tblGrid>
      <w:tr>
        <w:tc>
          <w:tcPr>
            <w:tcW w:type="dxa" w:w="792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Item</w:t>
            </w:r>
          </w:p>
        </w:tc>
        <w:tc>
          <w:tcPr>
            <w:tcW w:type="dxa" w:w="288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Amount</w:t>
            </w:r>
          </w:p>
        </w:tc>
      </w:tr>
      <w:tr>
        <w:tc>
          <w:tcPr>
            <w:tcW w:type="dxa" w:w="79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12-piece set (4 dinner plates, 4 salad plates, 4 cereal bowls)</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$840.00</w:t>
            </w:r>
          </w:p>
        </w:tc>
      </w:tr>
      <w:tr>
        <w:tc>
          <w:tcPr>
            <w:tcW w:type="dxa" w:w="79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color w:val="2C2820"/>
                <w:sz w:val="18"/>
              </w:rPr>
              <w:t>Deposit (50%, due at contract signing)</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color w:val="2C2820"/>
                <w:sz w:val="18"/>
              </w:rPr>
              <w:t>$420.00</w:t>
            </w:r>
          </w:p>
        </w:tc>
      </w:tr>
      <w:tr>
        <w:tc>
          <w:tcPr>
            <w:tcW w:type="dxa" w:w="792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color w:val="2C2820"/>
                <w:sz w:val="18"/>
              </w:rPr>
              <w:t>Balance (due before delivery or pickup)</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color w:val="2C2820"/>
                <w:sz w:val="18"/>
              </w:rPr>
              <w:t>$420.00</w:t>
            </w:r>
          </w:p>
        </w:tc>
      </w:tr>
      <w:tr>
        <w:tc>
          <w:tcPr>
            <w:tcW w:type="dxa" w:w="792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Shipping (if applicable - local pickup free)</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At cost</w:t>
            </w:r>
          </w:p>
        </w:tc>
      </w:tr>
    </w:tbl>
    <w:p>
      <w:pPr>
        <w:pStyle w:val="Heading2"/>
        <w:spacing w:before="200" w:after="80"/>
      </w:pPr>
      <w:r>
        <w:rPr>
          <w:color w:val="7A5540"/>
        </w:rPr>
        <w:t>Terms</w:t>
      </w:r>
    </w:p>
    <w:p>
      <w:pPr>
        <w:pStyle w:val="ListBullet"/>
        <w:spacing w:before="0" w:after="40"/>
        <w:ind w:left="432"/>
      </w:pPr>
      <w:r>
        <w:rPr>
          <w:rFonts w:ascii="Calibri" w:hAnsi="Calibri"/>
          <w:color w:val="2C2820"/>
          <w:sz w:val="20"/>
        </w:rPr>
        <w:t>A 50 percent deposit is required to begin production. The deposit is non-refundable after clay work begins.</w:t>
      </w:r>
    </w:p>
    <w:p>
      <w:pPr>
        <w:pStyle w:val="ListBullet"/>
        <w:spacing w:before="0" w:after="40"/>
        <w:ind w:left="432"/>
      </w:pPr>
      <w:r>
        <w:rPr>
          <w:rFonts w:ascii="Calibri" w:hAnsi="Calibri"/>
          <w:color w:val="2C2820"/>
          <w:sz w:val="20"/>
        </w:rPr>
        <w:t>The balance is due before pickup or before the piece ships. The studio will not release work before payment is complete.</w:t>
      </w:r>
    </w:p>
    <w:p>
      <w:pPr>
        <w:pStyle w:val="ListBullet"/>
        <w:spacing w:before="0" w:after="40"/>
        <w:ind w:left="432"/>
      </w:pPr>
      <w:r>
        <w:rPr>
          <w:rFonts w:ascii="Calibri" w:hAnsi="Calibri"/>
          <w:color w:val="2C2820"/>
          <w:sz w:val="20"/>
        </w:rPr>
        <w:t>Natural variation in glaze color, texture, and surface character is inherent to hand-made ceramics. Minor differences between the glaze sample tile and the finished pieces are expected and are not grounds for return.</w:t>
      </w:r>
    </w:p>
    <w:p>
      <w:pPr>
        <w:pStyle w:val="ListBullet"/>
        <w:spacing w:before="0" w:after="40"/>
        <w:ind w:left="432"/>
      </w:pPr>
      <w:r>
        <w:rPr>
          <w:rFonts w:ascii="Calibri" w:hAnsi="Calibri"/>
          <w:color w:val="2C2820"/>
          <w:sz w:val="20"/>
        </w:rPr>
        <w:t>If a piece is damaged in the kiln or is not up to the studio's quality standard, it will be re-made at no additional charge. Timeline may extend by 4 to 6 weeks in this case.</w:t>
      </w:r>
    </w:p>
    <w:p>
      <w:pPr>
        <w:pStyle w:val="ListBullet"/>
        <w:spacing w:before="0" w:after="40"/>
        <w:ind w:left="432"/>
      </w:pPr>
      <w:r>
        <w:rPr>
          <w:rFonts w:ascii="Calibri" w:hAnsi="Calibri"/>
          <w:color w:val="2C2820"/>
          <w:sz w:val="20"/>
        </w:rPr>
        <w:t>Shipping is at the client's expense. The studio packages carefully with appropriate padding and insurance. The studio is not responsible for damage that occurs during shipping.</w:t>
      </w:r>
    </w:p>
    <w:p>
      <w:pPr>
        <w:pStyle w:val="ListBullet"/>
        <w:spacing w:before="0" w:after="40"/>
        <w:ind w:left="432"/>
      </w:pPr>
      <w:r>
        <w:rPr>
          <w:rFonts w:ascii="Calibri" w:hAnsi="Calibri"/>
          <w:color w:val="2C2820"/>
          <w:sz w:val="20"/>
        </w:rPr>
        <w:t>All pieces are dishwasher-safe, microwave-safe, and food-safe at cone 6.</w:t>
      </w:r>
    </w:p>
    <w:p>
      <w:pPr>
        <w:pStyle w:val="Heading2"/>
        <w:spacing w:before="200" w:after="80"/>
      </w:pPr>
      <w:r>
        <w:rPr>
          <w:color w:val="7A5540"/>
        </w:rPr>
        <w:t>Signatures</w:t>
      </w:r>
    </w:p>
    <w:tbl>
      <w:tblPr>
        <w:tblStyle w:val="TableGrid"/>
        <w:tblW w:type="auto" w:w="0"/>
        <w:jc w:val="center"/>
        <w:tblLook w:firstColumn="1" w:firstRow="1" w:lastColumn="0" w:lastRow="0" w:noHBand="0" w:noVBand="1" w:val="04A0"/>
      </w:tblPr>
      <w:tblGrid>
        <w:gridCol w:w="4392"/>
        <w:gridCol w:w="4392"/>
      </w:tblGrid>
      <w:tr>
        <w:tc>
          <w:tcPr>
            <w:tcW w:type="dxa" w:w="540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Studio (James A. Wilson)</w:t>
            </w:r>
          </w:p>
        </w:tc>
        <w:tc>
          <w:tcPr>
            <w:tcW w:type="dxa" w:w="540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Client (Marco Holcomb)</w:t>
            </w:r>
          </w:p>
        </w:tc>
      </w:tr>
      <w:tr>
        <w:tc>
          <w:tcPr>
            <w:tcW w:type="dxa" w:w="54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Signature: ___________________________</w:t>
            </w:r>
          </w:p>
        </w:tc>
        <w:tc>
          <w:tcPr>
            <w:tcW w:type="dxa" w:w="54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Signature: ___________________________</w:t>
            </w:r>
          </w:p>
        </w:tc>
      </w:tr>
      <w:tr>
        <w:tc>
          <w:tcPr>
            <w:tcW w:type="dxa" w:w="54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Date: ________________________________</w:t>
            </w:r>
          </w:p>
        </w:tc>
        <w:tc>
          <w:tcPr>
            <w:tcW w:type="dxa" w:w="540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Date: ________________________________</w:t>
            </w:r>
          </w:p>
        </w:tc>
      </w:tr>
    </w:tbl>
    <w:p>
      <w:pPr>
        <w:pBdr>
          <w:bottom w:val="single" w:sz="6" w:space="1" w:color="7A5540"/>
        </w:pBdr>
        <w:spacing w:before="0" w:after="80"/>
      </w:pPr>
    </w:p>
    <w:p>
      <w:pPr>
        <w:jc w:val="center"/>
      </w:pPr>
      <w:r>
        <w:rPr>
          <w:rFonts w:ascii="Calibri" w:hAnsi="Calibri"/>
          <w:color w:val="6A6058"/>
          <w:sz w:val="16"/>
        </w:rPr>
        <w:t>Wilson Ceramics  |  208 Capitol Street, Charleston WV 25301  |  james.wilson.chas@gmail.com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A55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