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 Workshop Outline: Custody File Organization</w:t>
      </w:r>
    </w:p>
    <w:p>
      <w:pPr>
        <w:pStyle w:val="Heading1"/>
      </w:pPr>
      <w:r>
        <w:t>Event</w:t>
      </w:r>
    </w:p>
    <w:p>
      <w:r>
        <w:t>Charlotte Paralegal Association seminar, October 24, 2026. Run-through scheduled with Trish.</w:t>
      </w:r>
    </w:p>
    <w:p>
      <w:pPr>
        <w:pStyle w:val="Heading1"/>
      </w:pPr>
      <w:r>
        <w:t>Outline</w:t>
      </w:r>
    </w:p>
    <w:p>
      <w:pPr>
        <w:pStyle w:val="ListNumber"/>
      </w:pPr>
      <w:r>
        <w:t>Why file organization decides custody outcomes for the paralegal team</w:t>
      </w:r>
    </w:p>
    <w:p>
      <w:pPr>
        <w:pStyle w:val="ListNumber"/>
      </w:pPr>
      <w:r>
        <w:t>Building the matter folder from intake to filing</w:t>
      </w:r>
    </w:p>
    <w:p>
      <w:pPr>
        <w:pStyle w:val="ListNumber"/>
      </w:pPr>
      <w:r>
        <w:t>Tracking North Carolina custody deadlines without missing service windows</w:t>
      </w:r>
    </w:p>
    <w:p>
      <w:pPr>
        <w:pStyle w:val="ListNumber"/>
      </w:pPr>
      <w:r>
        <w:t>Exhibits, affidavits, and a clean chronology for the attorney</w:t>
      </w:r>
    </w:p>
    <w:p>
      <w:pPr>
        <w:pStyle w:val="ListNumber"/>
      </w:pPr>
      <w:r>
        <w:t>Crossover into adoption documentation</w:t>
      </w:r>
    </w:p>
    <w:p>
      <w:pPr>
        <w:pStyle w:val="ListNumber"/>
      </w:pPr>
      <w:r>
        <w:t>Mentoring junior paralegals on consistent naming and version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2025-11-12T14:30:00Z</dcterms:created>
  <dcterms:modified xsi:type="dcterms:W3CDTF">2025-11-12T14:30:00Z</dcterms:modified>
  <cp:category/>
</cp:coreProperties>
</file>