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Providence Rheumatology Group</w:t>
      </w:r>
    </w:p>
    <w:p>
      <w:r>
        <w:t>2 Dudley Street, Suite 410, Providence RI 02905</w:t>
      </w:r>
    </w:p>
    <w:p>
      <w:r>
        <w:t>(401) 555-0715</w:t>
      </w:r>
    </w:p>
    <w:p>
      <w:r>
        <w:t>Visit Summary    Visit date: 01/15/2026</w:t>
      </w:r>
    </w:p>
    <w:p>
      <w:r>
        <w:t>Provider: Joan Tierney, MD    Patient: Samantha T. Long    Acct: PRG-22815</w:t>
      </w:r>
    </w:p>
    <w:p>
      <w:r>
        <w:t>Lupus follow-up. Disease quiet; no flare since 2024. Patient walking three mornings a week, gardening in season, tolerating medications well.</w:t>
      </w:r>
    </w:p>
    <w:p>
      <w:r>
        <w:rPr>
          <w:b/>
        </w:rPr>
        <w:t>Recent labs (01/12/2026)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Result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Reference</w:t>
            </w:r>
          </w:p>
        </w:tc>
      </w:tr>
      <w:tr>
        <w:tc>
          <w:tcPr>
            <w:tcW w:type="dxa" w:w="2880"/>
          </w:tcPr>
          <w:p>
            <w:r/>
            <w:r>
              <w:t>WBC</w:t>
            </w:r>
          </w:p>
        </w:tc>
        <w:tc>
          <w:tcPr>
            <w:tcW w:type="dxa" w:w="2880"/>
          </w:tcPr>
          <w:p>
            <w:r/>
            <w:r>
              <w:t>5.8 K/uL</w:t>
            </w:r>
          </w:p>
        </w:tc>
        <w:tc>
          <w:tcPr>
            <w:tcW w:type="dxa" w:w="2880"/>
          </w:tcPr>
          <w:p>
            <w:r/>
            <w:r>
              <w:t>4.0 to 11.0</w:t>
            </w:r>
          </w:p>
        </w:tc>
      </w:tr>
      <w:tr>
        <w:tc>
          <w:tcPr>
            <w:tcW w:type="dxa" w:w="2880"/>
          </w:tcPr>
          <w:p>
            <w:r/>
            <w:r>
              <w:t>Hemoglobin</w:t>
            </w:r>
          </w:p>
        </w:tc>
        <w:tc>
          <w:tcPr>
            <w:tcW w:type="dxa" w:w="2880"/>
          </w:tcPr>
          <w:p>
            <w:r/>
            <w:r>
              <w:t>13.1 g/dL</w:t>
            </w:r>
          </w:p>
        </w:tc>
        <w:tc>
          <w:tcPr>
            <w:tcW w:type="dxa" w:w="2880"/>
          </w:tcPr>
          <w:p>
            <w:r/>
            <w:r>
              <w:t>12.0 to 16.0</w:t>
            </w:r>
          </w:p>
        </w:tc>
      </w:tr>
      <w:tr>
        <w:tc>
          <w:tcPr>
            <w:tcW w:type="dxa" w:w="2880"/>
          </w:tcPr>
          <w:p>
            <w:r/>
            <w:r>
              <w:t>Platelets</w:t>
            </w:r>
          </w:p>
        </w:tc>
        <w:tc>
          <w:tcPr>
            <w:tcW w:type="dxa" w:w="2880"/>
          </w:tcPr>
          <w:p>
            <w:r/>
            <w:r>
              <w:t>232 K/uL</w:t>
            </w:r>
          </w:p>
        </w:tc>
        <w:tc>
          <w:tcPr>
            <w:tcW w:type="dxa" w:w="2880"/>
          </w:tcPr>
          <w:p>
            <w:r/>
            <w:r>
              <w:t>150 to 400</w:t>
            </w:r>
          </w:p>
        </w:tc>
      </w:tr>
      <w:tr>
        <w:tc>
          <w:tcPr>
            <w:tcW w:type="dxa" w:w="2880"/>
          </w:tcPr>
          <w:p>
            <w:r/>
            <w:r>
              <w:t>Creatinine</w:t>
            </w:r>
          </w:p>
        </w:tc>
        <w:tc>
          <w:tcPr>
            <w:tcW w:type="dxa" w:w="2880"/>
          </w:tcPr>
          <w:p>
            <w:r/>
            <w:r>
              <w:t>0.84 mg/dL</w:t>
            </w:r>
          </w:p>
        </w:tc>
        <w:tc>
          <w:tcPr>
            <w:tcW w:type="dxa" w:w="2880"/>
          </w:tcPr>
          <w:p>
            <w:r/>
            <w:r>
              <w:t>0.6 to 1.1</w:t>
            </w:r>
          </w:p>
        </w:tc>
      </w:tr>
      <w:tr>
        <w:tc>
          <w:tcPr>
            <w:tcW w:type="dxa" w:w="2880"/>
          </w:tcPr>
          <w:p>
            <w:r/>
            <w:r>
              <w:t>C3 complement</w:t>
            </w:r>
          </w:p>
        </w:tc>
        <w:tc>
          <w:tcPr>
            <w:tcW w:type="dxa" w:w="2880"/>
          </w:tcPr>
          <w:p>
            <w:r/>
            <w:r>
              <w:t>118 mg/dL</w:t>
            </w:r>
          </w:p>
        </w:tc>
        <w:tc>
          <w:tcPr>
            <w:tcW w:type="dxa" w:w="2880"/>
          </w:tcPr>
          <w:p>
            <w:r/>
            <w:r>
              <w:t>90 to 180</w:t>
            </w:r>
          </w:p>
        </w:tc>
      </w:tr>
      <w:tr>
        <w:tc>
          <w:tcPr>
            <w:tcW w:type="dxa" w:w="2880"/>
          </w:tcPr>
          <w:p>
            <w:r/>
            <w:r>
              <w:t>C4 complement</w:t>
            </w:r>
          </w:p>
        </w:tc>
        <w:tc>
          <w:tcPr>
            <w:tcW w:type="dxa" w:w="2880"/>
          </w:tcPr>
          <w:p>
            <w:r/>
            <w:r>
              <w:t>24 mg/dL</w:t>
            </w:r>
          </w:p>
        </w:tc>
        <w:tc>
          <w:tcPr>
            <w:tcW w:type="dxa" w:w="2880"/>
          </w:tcPr>
          <w:p>
            <w:r/>
            <w:r>
              <w:t>10 to 40</w:t>
            </w:r>
          </w:p>
        </w:tc>
      </w:tr>
      <w:tr>
        <w:tc>
          <w:tcPr>
            <w:tcW w:type="dxa" w:w="2880"/>
          </w:tcPr>
          <w:p>
            <w:r/>
            <w:r>
              <w:t>Anti-dsDNA</w:t>
            </w:r>
          </w:p>
        </w:tc>
        <w:tc>
          <w:tcPr>
            <w:tcW w:type="dxa" w:w="2880"/>
          </w:tcPr>
          <w:p>
            <w:r/>
            <w:r>
              <w:t>Low</w:t>
            </w:r>
          </w:p>
        </w:tc>
        <w:tc>
          <w:tcPr>
            <w:tcW w:type="dxa" w:w="2880"/>
          </w:tcPr>
          <w:p>
            <w:r/>
            <w:r>
              <w:t>under 30 IU/mL</w:t>
            </w:r>
          </w:p>
        </w:tc>
      </w:tr>
    </w:tbl>
    <w:p>
      <w:r>
        <w:rPr>
          <w:b/>
        </w:rPr>
        <w:t>Plan</w:t>
      </w:r>
    </w:p>
    <w:p>
      <w:pPr>
        <w:pStyle w:val="ListBullet"/>
      </w:pPr>
      <w:r>
        <w:t>Continue hydroxychloroquine 200mg twice daily; prednisone 5mg daily.</w:t>
      </w:r>
    </w:p>
    <w:p>
      <w:pPr>
        <w:pStyle w:val="ListBullet"/>
      </w:pPr>
      <w:r>
        <w:t>Annual ophthalmology screening for hydroxychloroquine confirmed up to date (Nov 2025).</w:t>
      </w:r>
    </w:p>
    <w:p>
      <w:pPr>
        <w:pStyle w:val="ListBullet"/>
      </w:pPr>
      <w:r>
        <w:t>Repeat CBC, CMP, complement before the next visit.</w:t>
      </w:r>
    </w:p>
    <w:p>
      <w:r>
        <w:t>Next visit: November 2026. Call sooner for joint swelling, persistent fever, or rash.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Document Editor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Long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