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Edgewood Medical Associates</w:t>
      </w:r>
    </w:p>
    <w:p>
      <w:r>
        <w:t>1188 Broad Street, Cranston RI 02905</w:t>
      </w:r>
    </w:p>
    <w:p>
      <w:r>
        <w:t>(401) 555-0701    Patient Portal: my.edgewoodmed.org</w:t>
      </w:r>
    </w:p>
    <w:p>
      <w:r>
        <w:t>After-Visit Summary    Visit date: 02/10/2026</w:t>
      </w:r>
    </w:p>
    <w:p>
      <w:r>
        <w:t>Provider: Rami Anwar, MD    Patient: Samantha T. Long    MRN: EMA-0049122</w:t>
      </w:r>
    </w:p>
    <w:p>
      <w:r>
        <w:rPr>
          <w:b/>
        </w:rPr>
        <w:t>Reason for visit</w:t>
      </w:r>
    </w:p>
    <w:p>
      <w:r>
        <w:t>Routine follow-up; lupus stable. Annual wellness items reviewed. No new complaints. Reports feet numbness unchanged, managed with gabapentin.</w:t>
      </w:r>
    </w:p>
    <w:p>
      <w:r>
        <w:rPr>
          <w:b/>
        </w:rP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BP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Pulse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Temp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BMI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O2</w:t>
            </w:r>
          </w:p>
        </w:tc>
      </w:tr>
      <w:tr>
        <w:tc>
          <w:tcPr>
            <w:tcW w:type="dxa" w:w="1440"/>
          </w:tcPr>
          <w:p>
            <w:r/>
            <w:r>
              <w:t>122/74</w:t>
            </w:r>
          </w:p>
        </w:tc>
        <w:tc>
          <w:tcPr>
            <w:tcW w:type="dxa" w:w="1440"/>
          </w:tcPr>
          <w:p>
            <w:r/>
            <w:r>
              <w:t>68</w:t>
            </w:r>
          </w:p>
        </w:tc>
        <w:tc>
          <w:tcPr>
            <w:tcW w:type="dxa" w:w="1440"/>
          </w:tcPr>
          <w:p>
            <w:r/>
            <w:r>
              <w:t>98.2 F</w:t>
            </w:r>
          </w:p>
        </w:tc>
        <w:tc>
          <w:tcPr>
            <w:tcW w:type="dxa" w:w="1440"/>
          </w:tcPr>
          <w:p>
            <w:r/>
            <w:r>
              <w:t>148 lb</w:t>
            </w:r>
          </w:p>
        </w:tc>
        <w:tc>
          <w:tcPr>
            <w:tcW w:type="dxa" w:w="1440"/>
          </w:tcPr>
          <w:p>
            <w:r/>
            <w:r>
              <w:t>24.6</w:t>
            </w:r>
          </w:p>
        </w:tc>
        <w:tc>
          <w:tcPr>
            <w:tcW w:type="dxa" w:w="1440"/>
          </w:tcPr>
          <w:p>
            <w:r/>
            <w:r>
              <w:t>98%</w:t>
            </w:r>
          </w:p>
        </w:tc>
      </w:tr>
    </w:tbl>
    <w:p>
      <w:r>
        <w:rPr>
          <w:b/>
        </w:rPr>
        <w:t>Assessment and plan</w:t>
      </w:r>
    </w:p>
    <w:p>
      <w:pPr>
        <w:pStyle w:val="ListBullet"/>
      </w:pPr>
      <w:r>
        <w:t>Systemic lupus erythematosus: stable. Continue hydroxychloroquine and low-dose prednisone. Coordinate with rheumatology (Dr. Tierney).</w:t>
      </w:r>
    </w:p>
    <w:p>
      <w:pPr>
        <w:pStyle w:val="ListBullet"/>
      </w:pPr>
      <w:r>
        <w:t>Peripheral neuropathy: continue gabapentin 300mg nightly and balance exercises.</w:t>
      </w:r>
    </w:p>
    <w:p>
      <w:pPr>
        <w:pStyle w:val="ListBullet"/>
      </w:pPr>
      <w:r>
        <w:t>Bone health: continue calcium and D3 given steroid use. Bone density due 2027.</w:t>
      </w:r>
    </w:p>
    <w:p>
      <w:pPr>
        <w:pStyle w:val="ListBullet"/>
      </w:pPr>
      <w:r>
        <w:t>Labs ordered: CBC, CMP, complement (C3/C4). Fasting not required.</w:t>
      </w:r>
    </w:p>
    <w:p>
      <w:pPr>
        <w:pStyle w:val="ListBullet"/>
      </w:pPr>
      <w:r>
        <w:t>Influenza vaccine given today, left deltoid.</w:t>
      </w:r>
    </w:p>
    <w:p>
      <w:r>
        <w:t>Next appointment: February 2027 (routine). Call the office for sun-related rash, fever, or new swelling.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