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E3B2E"/>
          <w:sz w:val="32"/>
        </w:rPr>
        <w:t>Northstar Sprint 14 Retrospective</w:t>
      </w:r>
    </w:p>
    <w:p>
      <w:r>
        <w:rPr>
          <w:i/>
          <w:color w:val="7C7466"/>
          <w:sz w:val="20"/>
        </w:rPr>
        <w:t>Growth and Analytics Pod | October 29 to November 11, 2026 | Doc ID: D01</w:t>
      </w:r>
    </w:p>
    <w:p/>
    <w:p>
      <w:pPr>
        <w:pStyle w:val="Heading2"/>
      </w:pPr>
      <w:r>
        <w:rPr>
          <w:color w:val="9E3B2E"/>
          <w:sz w:val="23"/>
        </w:rPr>
        <w:t>1. Sprint Overview</w:t>
      </w:r>
    </w:p>
    <w:p>
      <w:pPr>
        <w:spacing w:after="120"/>
      </w:pPr>
      <w:r>
        <w:t>Sprint 14 was the final development sprint before the Northstar GA launch on November 13, 2026. The sprint delivered the remaining three features in scope: NS-F004 Email Digest Reports, NS-F010 Messaging Alert Integration, and NS-F007 Cohort Comparison Table. All three features are now in production and verified by the respective pilot accounts. Sprint velocity was 28 of 30 planned points (93 percent). Two points rolled to hypercare backlog (minor UI polish on the messaging platform alert configuration UI). See X02.xlsx sprint log for full story breakdown.</w:t>
      </w:r>
    </w:p>
    <w:p>
      <w:pPr>
        <w:pStyle w:val="Heading2"/>
      </w:pPr>
      <w:r>
        <w:rPr>
          <w:color w:val="9E3B2E"/>
          <w:sz w:val="23"/>
        </w:rPr>
        <w:t>2. What Went Well</w:t>
      </w:r>
    </w:p>
    <w:p>
      <w:pPr>
        <w:pStyle w:val="ListBullet"/>
        <w:spacing w:after="60"/>
      </w:pPr>
      <w:r>
        <w:t>NS-F007 Cohort Comparison Table shipped ahead of internal deadline (November 7 vs November 9 target). Priya Shankar at Atlas Growth Labs gave it a 5-star rating in the cycle 4 feedback form.</w:t>
      </w:r>
    </w:p>
    <w:p>
      <w:pPr>
        <w:pStyle w:val="ListBullet"/>
        <w:spacing w:after="60"/>
      </w:pPr>
      <w:r>
        <w:t>No critical bugs or P1 incidents during the sprint. the error-tracking tool error rate stayed under 0.1 percent for all 14 days.</w:t>
      </w:r>
    </w:p>
    <w:p>
      <w:pPr>
        <w:pStyle w:val="ListBullet"/>
        <w:spacing w:after="60"/>
      </w:pPr>
      <w:r>
        <w:t>Megan Shaw's decision to isolate the the messaging webhook into a separate microservice proved correct: load testing showed the main analytics service was unaffected by high alert volumes.</w:t>
      </w:r>
    </w:p>
    <w:p>
      <w:pPr>
        <w:pStyle w:val="ListBullet"/>
        <w:spacing w:after="60"/>
      </w:pPr>
      <w:r>
        <w:t>Daily async standup format (a messaging thread) worked well during the compressed October schedule. Team maintained velocity despite multiple external life events.</w:t>
      </w:r>
    </w:p>
    <w:p>
      <w:pPr>
        <w:pStyle w:val="ListBullet"/>
        <w:spacing w:after="60"/>
      </w:pPr>
      <w:r>
        <w:t>The pilot account sign-off process (all three accounts signed by November 8) went smoothly. Advance preparation of the sign-off checklist in X12.xlsx freeze section paid off.</w:t>
      </w:r>
    </w:p>
    <w:p>
      <w:pPr>
        <w:pStyle w:val="Heading2"/>
      </w:pPr>
      <w:r>
        <w:rPr>
          <w:color w:val="9E3B2E"/>
          <w:sz w:val="23"/>
        </w:rPr>
        <w:t>3. What Could Be Improved</w:t>
      </w:r>
    </w:p>
    <w:p>
      <w:pPr>
        <w:pStyle w:val="ListBullet"/>
        <w:spacing w:after="60"/>
      </w:pPr>
      <w:r>
        <w:t>The email digest scheduler (NS-F004) required a last-minute backend change when we discovered the job queue was not idempotent under retry. This should have been caught in the technical design review in Sprint 12. Recommendation: add a dedicated idempotency checklist item to the technical design template.</w:t>
      </w:r>
    </w:p>
    <w:p>
      <w:pPr>
        <w:pStyle w:val="ListBullet"/>
        <w:spacing w:after="60"/>
      </w:pPr>
      <w:r>
        <w:t>Ryan Iyer's data pipeline work for the cohort comparison was blocked for 1.5 days on a missing the event pipeline schema change. The dependency was in the sprint plan but not flagged as a blocker risk. Better dependency flagging in sprint planning would have surfaced this earlier.</w:t>
      </w:r>
    </w:p>
    <w:p>
      <w:pPr>
        <w:pStyle w:val="ListBullet"/>
        <w:spacing w:after="60"/>
      </w:pPr>
      <w:r>
        <w:t>The sprint review demo was underprepared. Tomoko had the designs ready but the demo environment had a stale data seed. Recommend a dedicated 30-minute demo environment check the day before sprint review.</w:t>
      </w:r>
    </w:p>
    <w:p>
      <w:pPr>
        <w:pStyle w:val="ListBullet"/>
        <w:spacing w:after="60"/>
      </w:pPr>
      <w:r>
        <w:t>My own availability during October 15 to 19 (annual physical, wedding) created a 4-day gap that Megan covered well but which required extra async communication. Future planned absences should have a named deputy explicitly announced at sprint planning, not assumed.</w:t>
      </w:r>
    </w:p>
    <w:p>
      <w:pPr>
        <w:pStyle w:val="Heading2"/>
      </w:pPr>
      <w:r>
        <w:rPr>
          <w:color w:val="9E3B2E"/>
          <w:sz w:val="23"/>
        </w:rPr>
        <w:t>4. Action Items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9E3B2E" w:color="auto" w:val="clear"/>
          </w:tcPr>
          <w:p>
            <w:r>
              <w:rPr>
                <w:b/>
                <w:color w:val="FFFFFF"/>
                <w:sz w:val="18"/>
              </w:rPr>
              <w:t>#</w:t>
            </w:r>
          </w:p>
        </w:tc>
        <w:tc>
          <w:tcPr>
            <w:tcW w:type="dxa" w:w="2376"/>
            <w:shd w:fill="9E3B2E" w:color="auto" w:val="clear"/>
          </w:tcPr>
          <w:p>
            <w:r>
              <w:rPr>
                <w:b/>
                <w:color w:val="FFFFFF"/>
                <w:sz w:val="18"/>
              </w:rPr>
              <w:t>Action</w:t>
            </w:r>
          </w:p>
        </w:tc>
        <w:tc>
          <w:tcPr>
            <w:tcW w:type="dxa" w:w="2376"/>
            <w:shd w:fill="9E3B2E" w:color="auto" w:val="clear"/>
          </w:tcPr>
          <w:p>
            <w:r>
              <w:rPr>
                <w:b/>
                <w:color w:val="FFFFFF"/>
                <w:sz w:val="18"/>
              </w:rPr>
              <w:t>Owner</w:t>
            </w:r>
          </w:p>
        </w:tc>
        <w:tc>
          <w:tcPr>
            <w:tcW w:type="dxa" w:w="2376"/>
            <w:shd w:fill="9E3B2E" w:color="auto" w:val="clear"/>
          </w:tcPr>
          <w:p>
            <w:r>
              <w:rPr>
                <w:b/>
                <w:color w:val="FFFFFF"/>
                <w:sz w:val="18"/>
              </w:rPr>
              <w:t>Due</w:t>
            </w:r>
          </w:p>
        </w:tc>
      </w:tr>
      <w:tr>
        <w:tc>
          <w:tcPr>
            <w:tcW w:type="dxa" w:w="2376"/>
            <w:shd w:fill="FAF4E8" w:color="auto" w:val="clear"/>
          </w:tcPr>
          <w:p>
            <w:r>
              <w:rPr>
                <w:color w:val="2A2622"/>
                <w:sz w:val="18"/>
              </w:rPr>
              <w:t>A1</w:t>
            </w:r>
          </w:p>
        </w:tc>
        <w:tc>
          <w:tcPr>
            <w:tcW w:type="dxa" w:w="2376"/>
            <w:shd w:fill="FAF4E8" w:color="auto" w:val="clear"/>
          </w:tcPr>
          <w:p>
            <w:r>
              <w:rPr>
                <w:color w:val="2A2622"/>
                <w:sz w:val="18"/>
              </w:rPr>
              <w:t>Add idempotency checklist to technical design template in the documentation tool</w:t>
            </w:r>
          </w:p>
        </w:tc>
        <w:tc>
          <w:tcPr>
            <w:tcW w:type="dxa" w:w="2376"/>
            <w:shd w:fill="FAF4E8" w:color="auto" w:val="clear"/>
          </w:tcPr>
          <w:p>
            <w:r>
              <w:rPr>
                <w:color w:val="2A2622"/>
                <w:sz w:val="18"/>
              </w:rPr>
              <w:t>Megan Shaw</w:t>
            </w:r>
          </w:p>
        </w:tc>
        <w:tc>
          <w:tcPr>
            <w:tcW w:type="dxa" w:w="2376"/>
            <w:shd w:fill="FAF4E8" w:color="auto" w:val="clear"/>
          </w:tcPr>
          <w:p>
            <w:r>
              <w:rPr>
                <w:color w:val="2A2622"/>
                <w:sz w:val="18"/>
              </w:rPr>
              <w:t>Nov 20, 2026</w:t>
            </w:r>
          </w:p>
        </w:tc>
      </w:tr>
      <w:tr>
        <w:tc>
          <w:tcPr>
            <w:tcW w:type="dxa" w:w="2376"/>
            <w:shd w:fill="FFFFFF" w:color="auto" w:val="clear"/>
          </w:tcPr>
          <w:p>
            <w:r>
              <w:rPr>
                <w:color w:val="2A2622"/>
                <w:sz w:val="18"/>
              </w:rPr>
              <w:t>A2</w:t>
            </w:r>
          </w:p>
        </w:tc>
        <w:tc>
          <w:tcPr>
            <w:tcW w:type="dxa" w:w="2376"/>
            <w:shd w:fill="FFFFFF" w:color="auto" w:val="clear"/>
          </w:tcPr>
          <w:p>
            <w:r>
              <w:rPr>
                <w:color w:val="2A2622"/>
                <w:sz w:val="18"/>
              </w:rPr>
              <w:t>Update sprint planning template: dependency risk column</w:t>
            </w:r>
          </w:p>
        </w:tc>
        <w:tc>
          <w:tcPr>
            <w:tcW w:type="dxa" w:w="2376"/>
            <w:shd w:fill="FFFFFF" w:color="auto" w:val="clear"/>
          </w:tcPr>
          <w:p>
            <w:r>
              <w:rPr>
                <w:color w:val="2A2622"/>
                <w:sz w:val="18"/>
              </w:rPr>
              <w:t>Stephanie Wells</w:t>
            </w:r>
          </w:p>
        </w:tc>
        <w:tc>
          <w:tcPr>
            <w:tcW w:type="dxa" w:w="2376"/>
            <w:shd w:fill="FFFFFF" w:color="auto" w:val="clear"/>
          </w:tcPr>
          <w:p>
            <w:r>
              <w:rPr>
                <w:color w:val="2A2622"/>
                <w:sz w:val="18"/>
              </w:rPr>
              <w:t>Nov 20, 2026</w:t>
            </w:r>
          </w:p>
        </w:tc>
      </w:tr>
      <w:tr>
        <w:tc>
          <w:tcPr>
            <w:tcW w:type="dxa" w:w="2376"/>
            <w:shd w:fill="FAF4E8" w:color="auto" w:val="clear"/>
          </w:tcPr>
          <w:p>
            <w:r>
              <w:rPr>
                <w:color w:val="2A2622"/>
                <w:sz w:val="18"/>
              </w:rPr>
              <w:t>A3</w:t>
            </w:r>
          </w:p>
        </w:tc>
        <w:tc>
          <w:tcPr>
            <w:tcW w:type="dxa" w:w="2376"/>
            <w:shd w:fill="FAF4E8" w:color="auto" w:val="clear"/>
          </w:tcPr>
          <w:p>
            <w:r>
              <w:rPr>
                <w:color w:val="2A2622"/>
                <w:sz w:val="18"/>
              </w:rPr>
              <w:t>Add 30-min demo env check to sprint review agenda in the project tracker</w:t>
            </w:r>
          </w:p>
        </w:tc>
        <w:tc>
          <w:tcPr>
            <w:tcW w:type="dxa" w:w="2376"/>
            <w:shd w:fill="FAF4E8" w:color="auto" w:val="clear"/>
          </w:tcPr>
          <w:p>
            <w:r>
              <w:rPr>
                <w:color w:val="2A2622"/>
                <w:sz w:val="18"/>
              </w:rPr>
              <w:t>Ryan Iyer</w:t>
            </w:r>
          </w:p>
        </w:tc>
        <w:tc>
          <w:tcPr>
            <w:tcW w:type="dxa" w:w="2376"/>
            <w:shd w:fill="FAF4E8" w:color="auto" w:val="clear"/>
          </w:tcPr>
          <w:p>
            <w:r>
              <w:rPr>
                <w:color w:val="2A2622"/>
                <w:sz w:val="18"/>
              </w:rPr>
              <w:t>Nov 20, 2026</w:t>
            </w:r>
          </w:p>
        </w:tc>
      </w:tr>
      <w:tr>
        <w:tc>
          <w:tcPr>
            <w:tcW w:type="dxa" w:w="2376"/>
            <w:shd w:fill="FFFFFF" w:color="auto" w:val="clear"/>
          </w:tcPr>
          <w:p>
            <w:r>
              <w:rPr>
                <w:color w:val="2A2622"/>
                <w:sz w:val="18"/>
              </w:rPr>
              <w:t>A4</w:t>
            </w:r>
          </w:p>
        </w:tc>
        <w:tc>
          <w:tcPr>
            <w:tcW w:type="dxa" w:w="2376"/>
            <w:shd w:fill="FFFFFF" w:color="auto" w:val="clear"/>
          </w:tcPr>
          <w:p>
            <w:r>
              <w:rPr>
                <w:color w:val="2A2622"/>
                <w:sz w:val="18"/>
              </w:rPr>
              <w:t>Document PM deputy process in the team working agreement</w:t>
            </w:r>
          </w:p>
        </w:tc>
        <w:tc>
          <w:tcPr>
            <w:tcW w:type="dxa" w:w="2376"/>
            <w:shd w:fill="FFFFFF" w:color="auto" w:val="clear"/>
          </w:tcPr>
          <w:p>
            <w:r>
              <w:rPr>
                <w:color w:val="2A2622"/>
                <w:sz w:val="18"/>
              </w:rPr>
              <w:t>Stephanie Wells</w:t>
            </w:r>
          </w:p>
        </w:tc>
        <w:tc>
          <w:tcPr>
            <w:tcW w:type="dxa" w:w="2376"/>
            <w:shd w:fill="FFFFFF" w:color="auto" w:val="clear"/>
          </w:tcPr>
          <w:p>
            <w:r>
              <w:rPr>
                <w:color w:val="2A2622"/>
                <w:sz w:val="18"/>
              </w:rPr>
              <w:t>Nov 25, 2026</w:t>
            </w:r>
          </w:p>
        </w:tc>
      </w:tr>
      <w:tr>
        <w:tc>
          <w:tcPr>
            <w:tcW w:type="dxa" w:w="2376"/>
            <w:shd w:fill="FAF4E8" w:color="auto" w:val="clear"/>
          </w:tcPr>
          <w:p>
            <w:r>
              <w:rPr>
                <w:color w:val="2A2622"/>
                <w:sz w:val="18"/>
              </w:rPr>
              <w:t>A5</w:t>
            </w:r>
          </w:p>
        </w:tc>
        <w:tc>
          <w:tcPr>
            <w:tcW w:type="dxa" w:w="2376"/>
            <w:shd w:fill="FAF4E8" w:color="auto" w:val="clear"/>
          </w:tcPr>
          <w:p>
            <w:r>
              <w:rPr>
                <w:color w:val="2A2622"/>
                <w:sz w:val="18"/>
              </w:rPr>
              <w:t>Resolve remaining 2 points (the messaging platform UI polish) in hypercare backlog</w:t>
            </w:r>
          </w:p>
        </w:tc>
        <w:tc>
          <w:tcPr>
            <w:tcW w:type="dxa" w:w="2376"/>
            <w:shd w:fill="FAF4E8" w:color="auto" w:val="clear"/>
          </w:tcPr>
          <w:p>
            <w:r>
              <w:rPr>
                <w:color w:val="2A2622"/>
                <w:sz w:val="18"/>
              </w:rPr>
              <w:t>Dana Cruz</w:t>
            </w:r>
          </w:p>
        </w:tc>
        <w:tc>
          <w:tcPr>
            <w:tcW w:type="dxa" w:w="2376"/>
            <w:shd w:fill="FAF4E8" w:color="auto" w:val="clear"/>
          </w:tcPr>
          <w:p>
            <w:r>
              <w:rPr>
                <w:color w:val="2A2622"/>
                <w:sz w:val="18"/>
              </w:rPr>
              <w:t>Nov 20, 2026</w:t>
            </w:r>
          </w:p>
        </w:tc>
      </w:tr>
    </w:tbl>
    <w:p/>
    <w:p>
      <w:pPr>
        <w:pStyle w:val="Heading2"/>
      </w:pPr>
      <w:r>
        <w:rPr>
          <w:color w:val="9E3B2E"/>
          <w:sz w:val="23"/>
        </w:rPr>
        <w:t>5. Sprint Metrics</w:t>
      </w:r>
    </w:p>
    <w:tbl>
      <w:tblPr>
        <w:tblStyle w:val="TableGrid"/>
        <w:tblW w:type="auto" w:w="0"/>
        <w:tblLook w:firstColumn="1" w:firstRow="1" w:lastColumn="0" w:lastRow="0" w:noHBand="0" w:noVBand="1" w:val="04A0"/>
      </w:tblPr>
      <w:tblGrid>
        <w:gridCol w:w="3168"/>
        <w:gridCol w:w="3168"/>
        <w:gridCol w:w="3168"/>
      </w:tblGrid>
      <w:tr>
        <w:tc>
          <w:tcPr>
            <w:tcW w:type="dxa" w:w="3168"/>
            <w:shd w:fill="9E3B2E" w:color="auto" w:val="clear"/>
          </w:tcPr>
          <w:p>
            <w:r>
              <w:rPr>
                <w:b/>
                <w:color w:val="FFFFFF"/>
                <w:sz w:val="18"/>
              </w:rPr>
              <w:t>Metric</w:t>
            </w:r>
          </w:p>
        </w:tc>
        <w:tc>
          <w:tcPr>
            <w:tcW w:type="dxa" w:w="3168"/>
            <w:shd w:fill="9E3B2E" w:color="auto" w:val="clear"/>
          </w:tcPr>
          <w:p>
            <w:r>
              <w:rPr>
                <w:b/>
                <w:color w:val="FFFFFF"/>
                <w:sz w:val="18"/>
              </w:rPr>
              <w:t>Value</w:t>
            </w:r>
          </w:p>
        </w:tc>
        <w:tc>
          <w:tcPr>
            <w:tcW w:type="dxa" w:w="3168"/>
            <w:shd w:fill="9E3B2E" w:color="auto" w:val="clear"/>
          </w:tcPr>
          <w:p>
            <w:r>
              <w:rPr>
                <w:b/>
                <w:color w:val="FFFFFF"/>
                <w:sz w:val="18"/>
              </w:rPr>
              <w:t>Notes</w:t>
            </w:r>
          </w:p>
        </w:tc>
      </w:tr>
      <w:tr>
        <w:tc>
          <w:tcPr>
            <w:tcW w:type="dxa" w:w="3168"/>
            <w:shd w:fill="FAF4E8" w:color="auto" w:val="clear"/>
          </w:tcPr>
          <w:p>
            <w:r>
              <w:rPr>
                <w:color w:val="2A2622"/>
                <w:sz w:val="18"/>
              </w:rPr>
              <w:t>Planned story points</w:t>
            </w:r>
          </w:p>
        </w:tc>
        <w:tc>
          <w:tcPr>
            <w:tcW w:type="dxa" w:w="3168"/>
            <w:shd w:fill="FAF4E8" w:color="auto" w:val="clear"/>
          </w:tcPr>
          <w:p>
            <w:r>
              <w:rPr>
                <w:color w:val="2A2622"/>
                <w:sz w:val="18"/>
              </w:rPr>
              <w:t>30</w:t>
            </w:r>
          </w:p>
        </w:tc>
        <w:tc>
          <w:tcPr>
            <w:tcW w:type="dxa" w:w="3168"/>
            <w:shd w:fill="FAF4E8" w:color="auto" w:val="clear"/>
          </w:tcPr>
          <w:p>
            <w:r>
              <w:rPr>
                <w:color w:val="2A2622"/>
                <w:sz w:val="18"/>
              </w:rPr>
            </w:r>
          </w:p>
        </w:tc>
      </w:tr>
      <w:tr>
        <w:tc>
          <w:tcPr>
            <w:tcW w:type="dxa" w:w="3168"/>
            <w:shd w:fill="FFFFFF" w:color="auto" w:val="clear"/>
          </w:tcPr>
          <w:p>
            <w:r>
              <w:rPr>
                <w:color w:val="2A2622"/>
                <w:sz w:val="18"/>
              </w:rPr>
              <w:t>Completed story points</w:t>
            </w:r>
          </w:p>
        </w:tc>
        <w:tc>
          <w:tcPr>
            <w:tcW w:type="dxa" w:w="3168"/>
            <w:shd w:fill="FFFFFF" w:color="auto" w:val="clear"/>
          </w:tcPr>
          <w:p>
            <w:r>
              <w:rPr>
                <w:color w:val="2A2622"/>
                <w:sz w:val="18"/>
              </w:rPr>
              <w:t>28</w:t>
            </w:r>
          </w:p>
        </w:tc>
        <w:tc>
          <w:tcPr>
            <w:tcW w:type="dxa" w:w="3168"/>
            <w:shd w:fill="FFFFFF" w:color="auto" w:val="clear"/>
          </w:tcPr>
          <w:p>
            <w:r>
              <w:rPr>
                <w:color w:val="2A2622"/>
                <w:sz w:val="18"/>
              </w:rPr>
              <w:t>93 percent velocity</w:t>
            </w:r>
          </w:p>
        </w:tc>
      </w:tr>
      <w:tr>
        <w:tc>
          <w:tcPr>
            <w:tcW w:type="dxa" w:w="3168"/>
            <w:shd w:fill="FAF4E8" w:color="auto" w:val="clear"/>
          </w:tcPr>
          <w:p>
            <w:r>
              <w:rPr>
                <w:color w:val="2A2622"/>
                <w:sz w:val="18"/>
              </w:rPr>
              <w:t>Rolled to next sprint</w:t>
            </w:r>
          </w:p>
        </w:tc>
        <w:tc>
          <w:tcPr>
            <w:tcW w:type="dxa" w:w="3168"/>
            <w:shd w:fill="FAF4E8" w:color="auto" w:val="clear"/>
          </w:tcPr>
          <w:p>
            <w:r>
              <w:rPr>
                <w:color w:val="2A2622"/>
                <w:sz w:val="18"/>
              </w:rPr>
              <w:t>2</w:t>
            </w:r>
          </w:p>
        </w:tc>
        <w:tc>
          <w:tcPr>
            <w:tcW w:type="dxa" w:w="3168"/>
            <w:shd w:fill="FAF4E8" w:color="auto" w:val="clear"/>
          </w:tcPr>
          <w:p>
            <w:r>
              <w:rPr>
                <w:color w:val="2A2622"/>
                <w:sz w:val="18"/>
              </w:rPr>
              <w:t>the messaging platform UI polish, minor only</w:t>
            </w:r>
          </w:p>
        </w:tc>
      </w:tr>
      <w:tr>
        <w:tc>
          <w:tcPr>
            <w:tcW w:type="dxa" w:w="3168"/>
            <w:shd w:fill="FFFFFF" w:color="auto" w:val="clear"/>
          </w:tcPr>
          <w:p>
            <w:r>
              <w:rPr>
                <w:color w:val="2A2622"/>
                <w:sz w:val="18"/>
              </w:rPr>
              <w:t>Bug count opened</w:t>
            </w:r>
          </w:p>
        </w:tc>
        <w:tc>
          <w:tcPr>
            <w:tcW w:type="dxa" w:w="3168"/>
            <w:shd w:fill="FFFFFF" w:color="auto" w:val="clear"/>
          </w:tcPr>
          <w:p>
            <w:r>
              <w:rPr>
                <w:color w:val="2A2622"/>
                <w:sz w:val="18"/>
              </w:rPr>
              <w:t>3</w:t>
            </w:r>
          </w:p>
        </w:tc>
        <w:tc>
          <w:tcPr>
            <w:tcW w:type="dxa" w:w="3168"/>
            <w:shd w:fill="FFFFFF" w:color="auto" w:val="clear"/>
          </w:tcPr>
          <w:p>
            <w:r>
              <w:rPr>
                <w:color w:val="2A2622"/>
                <w:sz w:val="18"/>
              </w:rPr>
              <w:t>All P2 or lower</w:t>
            </w:r>
          </w:p>
        </w:tc>
      </w:tr>
      <w:tr>
        <w:tc>
          <w:tcPr>
            <w:tcW w:type="dxa" w:w="3168"/>
            <w:shd w:fill="FAF4E8" w:color="auto" w:val="clear"/>
          </w:tcPr>
          <w:p>
            <w:r>
              <w:rPr>
                <w:color w:val="2A2622"/>
                <w:sz w:val="18"/>
              </w:rPr>
              <w:t>Bug count closed</w:t>
            </w:r>
          </w:p>
        </w:tc>
        <w:tc>
          <w:tcPr>
            <w:tcW w:type="dxa" w:w="3168"/>
            <w:shd w:fill="FAF4E8" w:color="auto" w:val="clear"/>
          </w:tcPr>
          <w:p>
            <w:r>
              <w:rPr>
                <w:color w:val="2A2622"/>
                <w:sz w:val="18"/>
              </w:rPr>
              <w:t>4</w:t>
            </w:r>
          </w:p>
        </w:tc>
        <w:tc>
          <w:tcPr>
            <w:tcW w:type="dxa" w:w="3168"/>
            <w:shd w:fill="FAF4E8" w:color="auto" w:val="clear"/>
          </w:tcPr>
          <w:p>
            <w:r>
              <w:rPr>
                <w:color w:val="2A2622"/>
                <w:sz w:val="18"/>
              </w:rPr>
              <w:t>1 carryover from S13</w:t>
            </w:r>
          </w:p>
        </w:tc>
      </w:tr>
      <w:tr>
        <w:tc>
          <w:tcPr>
            <w:tcW w:type="dxa" w:w="3168"/>
            <w:shd w:fill="FFFFFF" w:color="auto" w:val="clear"/>
          </w:tcPr>
          <w:p>
            <w:r>
              <w:rPr>
                <w:color w:val="2A2622"/>
                <w:sz w:val="18"/>
              </w:rPr>
              <w:t>PR count</w:t>
            </w:r>
          </w:p>
        </w:tc>
        <w:tc>
          <w:tcPr>
            <w:tcW w:type="dxa" w:w="3168"/>
            <w:shd w:fill="FFFFFF" w:color="auto" w:val="clear"/>
          </w:tcPr>
          <w:p>
            <w:r>
              <w:rPr>
                <w:color w:val="2A2622"/>
                <w:sz w:val="18"/>
              </w:rPr>
              <w:t>42</w:t>
            </w:r>
          </w:p>
        </w:tc>
        <w:tc>
          <w:tcPr>
            <w:tcW w:type="dxa" w:w="3168"/>
            <w:shd w:fill="FFFFFF" w:color="auto" w:val="clear"/>
          </w:tcPr>
          <w:p>
            <w:r>
              <w:rPr>
                <w:color w:val="2A2622"/>
                <w:sz w:val="18"/>
              </w:rPr>
              <w:t>14-day sprint</w:t>
            </w:r>
          </w:p>
        </w:tc>
      </w:tr>
      <w:tr>
        <w:tc>
          <w:tcPr>
            <w:tcW w:type="dxa" w:w="3168"/>
            <w:shd w:fill="FAF4E8" w:color="auto" w:val="clear"/>
          </w:tcPr>
          <w:p>
            <w:r>
              <w:rPr>
                <w:color w:val="2A2622"/>
                <w:sz w:val="18"/>
              </w:rPr>
              <w:t>Avg PR merge time</w:t>
            </w:r>
          </w:p>
        </w:tc>
        <w:tc>
          <w:tcPr>
            <w:tcW w:type="dxa" w:w="3168"/>
            <w:shd w:fill="FAF4E8" w:color="auto" w:val="clear"/>
          </w:tcPr>
          <w:p>
            <w:r>
              <w:rPr>
                <w:color w:val="2A2622"/>
                <w:sz w:val="18"/>
              </w:rPr>
              <w:t>18 hours</w:t>
            </w:r>
          </w:p>
        </w:tc>
        <w:tc>
          <w:tcPr>
            <w:tcW w:type="dxa" w:w="3168"/>
            <w:shd w:fill="FAF4E8" w:color="auto" w:val="clear"/>
          </w:tcPr>
          <w:p>
            <w:r>
              <w:rPr>
                <w:color w:val="2A2622"/>
                <w:sz w:val="18"/>
              </w:rPr>
              <w:t>Target was 24 hours</w:t>
            </w:r>
          </w:p>
        </w:tc>
      </w:tr>
      <w:tr>
        <w:tc>
          <w:tcPr>
            <w:tcW w:type="dxa" w:w="3168"/>
            <w:shd w:fill="FFFFFF" w:color="auto" w:val="clear"/>
          </w:tcPr>
          <w:p>
            <w:r>
              <w:rPr>
                <w:color w:val="2A2622"/>
                <w:sz w:val="18"/>
              </w:rPr>
              <w:t>the error-tracking tool P95 error rate</w:t>
            </w:r>
          </w:p>
        </w:tc>
        <w:tc>
          <w:tcPr>
            <w:tcW w:type="dxa" w:w="3168"/>
            <w:shd w:fill="FFFFFF" w:color="auto" w:val="clear"/>
          </w:tcPr>
          <w:p>
            <w:r>
              <w:rPr>
                <w:color w:val="2A2622"/>
                <w:sz w:val="18"/>
              </w:rPr>
              <w:t>0.08%</w:t>
            </w:r>
          </w:p>
        </w:tc>
        <w:tc>
          <w:tcPr>
            <w:tcW w:type="dxa" w:w="3168"/>
            <w:shd w:fill="FFFFFF" w:color="auto" w:val="clear"/>
          </w:tcPr>
          <w:p>
            <w:r>
              <w:rPr>
                <w:color w:val="2A2622"/>
                <w:sz w:val="18"/>
              </w:rPr>
              <w:t>Well below 0.5% SLO</w:t>
            </w:r>
          </w:p>
        </w:tc>
      </w:tr>
    </w:tbl>
    <w:p/>
    <w:p>
      <w:pPr>
        <w:pStyle w:val="Heading2"/>
      </w:pPr>
      <w:r>
        <w:rPr>
          <w:color w:val="9E3B2E"/>
          <w:sz w:val="23"/>
        </w:rPr>
        <w:t>6. Team Shoutouts</w:t>
      </w:r>
    </w:p>
    <w:p>
      <w:pPr>
        <w:pStyle w:val="ListBullet"/>
        <w:spacing w:after="60"/>
      </w:pPr>
      <w:r>
        <w:t>Megan Shaw: held the engineering team together through a compressed calendar and delivered a clean sprint. The microservice call on NS-F010 was the right architectural choice.</w:t>
      </w:r>
    </w:p>
    <w:p>
      <w:pPr>
        <w:pStyle w:val="ListBullet"/>
        <w:spacing w:after="60"/>
      </w:pPr>
      <w:r>
        <w:t>James Okafor: personally drove the Safari memory leak fix from detection to production in under 18 hours. This cleared the last blocker for ENT-PC-002 sign-off.</w:t>
      </w:r>
    </w:p>
    <w:p>
      <w:pPr>
        <w:pStyle w:val="ListBullet"/>
        <w:spacing w:after="60"/>
      </w:pPr>
      <w:r>
        <w:t>Tomoko Hayashi: the funnel visualization (NS-F006) design revisions based on pilot feedback were thoughtful and fast. Kate Ellison specifically called out the chart clarity in her NPS comment.</w:t>
      </w:r>
    </w:p>
    <w:p>
      <w:pPr>
        <w:pStyle w:val="ListBullet"/>
        <w:spacing w:after="60"/>
      </w:pPr>
      <w:r>
        <w:t>Ryan Iyer: the the event pipeline schema fix that unblocked the cohort comparison pipeline was a weekend effort. Appreciated.</w:t>
      </w:r>
    </w:p>
    <w:p>
      <w:pPr>
        <w:pStyle w:val="Heading2"/>
      </w:pPr>
      <w:r>
        <w:rPr>
          <w:color w:val="9E3B2E"/>
          <w:sz w:val="23"/>
        </w:rPr>
        <w:t>7. Next Steps: Hypercare and Post-Launch</w:t>
      </w:r>
    </w:p>
    <w:p>
      <w:pPr>
        <w:spacing w:after="120"/>
      </w:pPr>
      <w:r>
        <w:t>Sprint 15 is officially the 14-day hypercare period (November 13 to November 27, 2026). The team is on a doubled on-call rotation. Stephanie returns to full availability after November 17. The first retrospective after launch will be scheduled for November 28, 2026. Post-launch feature development begins in Sprint 16 (December 2026) with NS-F009 benchmark overlay scoping. See P09.pdf launch readiness report and X12.xlsx for post-launch backlog.</w:t>
      </w:r>
    </w:p>
    <w:p>
      <w:pPr>
        <w:pStyle w:val="Heading2"/>
      </w:pPr>
      <w:r>
        <w:rPr>
          <w:color w:val="9E3B2E"/>
          <w:sz w:val="23"/>
        </w:rPr>
        <w:t>8. Appendix: Story Summary</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9E3B2E" w:color="auto" w:val="clear"/>
          </w:tcPr>
          <w:p>
            <w:r>
              <w:rPr>
                <w:b/>
                <w:color w:val="FFFFFF"/>
                <w:sz w:val="18"/>
              </w:rPr>
              <w:t>Story ID</w:t>
            </w:r>
          </w:p>
        </w:tc>
        <w:tc>
          <w:tcPr>
            <w:tcW w:type="dxa" w:w="1901"/>
            <w:shd w:fill="9E3B2E" w:color="auto" w:val="clear"/>
          </w:tcPr>
          <w:p>
            <w:r>
              <w:rPr>
                <w:b/>
                <w:color w:val="FFFFFF"/>
                <w:sz w:val="18"/>
              </w:rPr>
              <w:t>Title</w:t>
            </w:r>
          </w:p>
        </w:tc>
        <w:tc>
          <w:tcPr>
            <w:tcW w:type="dxa" w:w="1901"/>
            <w:shd w:fill="9E3B2E" w:color="auto" w:val="clear"/>
          </w:tcPr>
          <w:p>
            <w:r>
              <w:rPr>
                <w:b/>
                <w:color w:val="FFFFFF"/>
                <w:sz w:val="18"/>
              </w:rPr>
              <w:t>Points</w:t>
            </w:r>
          </w:p>
        </w:tc>
        <w:tc>
          <w:tcPr>
            <w:tcW w:type="dxa" w:w="1901"/>
            <w:shd w:fill="9E3B2E" w:color="auto" w:val="clear"/>
          </w:tcPr>
          <w:p>
            <w:r>
              <w:rPr>
                <w:b/>
                <w:color w:val="FFFFFF"/>
                <w:sz w:val="18"/>
              </w:rPr>
              <w:t>Assignee</w:t>
            </w:r>
          </w:p>
        </w:tc>
        <w:tc>
          <w:tcPr>
            <w:tcW w:type="dxa" w:w="1901"/>
            <w:shd w:fill="9E3B2E" w:color="auto" w:val="clear"/>
          </w:tcPr>
          <w:p>
            <w:r>
              <w:rPr>
                <w:b/>
                <w:color w:val="FFFFFF"/>
                <w:sz w:val="18"/>
              </w:rPr>
              <w:t>Final Status</w:t>
            </w:r>
          </w:p>
        </w:tc>
      </w:tr>
      <w:tr>
        <w:tc>
          <w:tcPr>
            <w:tcW w:type="dxa" w:w="1901"/>
            <w:shd w:fill="FAF4E8" w:color="auto" w:val="clear"/>
          </w:tcPr>
          <w:p>
            <w:r>
              <w:rPr>
                <w:color w:val="2A2622"/>
                <w:sz w:val="18"/>
              </w:rPr>
              <w:t>NS-F004</w:t>
            </w:r>
          </w:p>
        </w:tc>
        <w:tc>
          <w:tcPr>
            <w:tcW w:type="dxa" w:w="1901"/>
            <w:shd w:fill="FAF4E8" w:color="auto" w:val="clear"/>
          </w:tcPr>
          <w:p>
            <w:r>
              <w:rPr>
                <w:color w:val="2A2622"/>
                <w:sz w:val="18"/>
              </w:rPr>
              <w:t>Email digest scheduler</w:t>
            </w:r>
          </w:p>
        </w:tc>
        <w:tc>
          <w:tcPr>
            <w:tcW w:type="dxa" w:w="1901"/>
            <w:shd w:fill="FAF4E8" w:color="auto" w:val="clear"/>
          </w:tcPr>
          <w:p>
            <w:r>
              <w:rPr>
                <w:color w:val="2A2622"/>
                <w:sz w:val="18"/>
              </w:rPr>
              <w:t>8</w:t>
            </w:r>
          </w:p>
        </w:tc>
        <w:tc>
          <w:tcPr>
            <w:tcW w:type="dxa" w:w="1901"/>
            <w:shd w:fill="FAF4E8" w:color="auto" w:val="clear"/>
          </w:tcPr>
          <w:p>
            <w:r>
              <w:rPr>
                <w:color w:val="2A2622"/>
                <w:sz w:val="18"/>
              </w:rPr>
              <w:t>Alex Park</w:t>
            </w:r>
          </w:p>
        </w:tc>
        <w:tc>
          <w:tcPr>
            <w:tcW w:type="dxa" w:w="1901"/>
            <w:shd w:fill="FAF4E8" w:color="auto" w:val="clear"/>
          </w:tcPr>
          <w:p>
            <w:r>
              <w:rPr>
                <w:color w:val="2A2622"/>
                <w:sz w:val="18"/>
              </w:rPr>
              <w:t>Done</w:t>
            </w:r>
          </w:p>
        </w:tc>
      </w:tr>
      <w:tr>
        <w:tc>
          <w:tcPr>
            <w:tcW w:type="dxa" w:w="1901"/>
            <w:shd w:fill="FFFFFF" w:color="auto" w:val="clear"/>
          </w:tcPr>
          <w:p>
            <w:r>
              <w:rPr>
                <w:color w:val="2A2622"/>
                <w:sz w:val="18"/>
              </w:rPr>
              <w:t>NS-F010</w:t>
            </w:r>
          </w:p>
        </w:tc>
        <w:tc>
          <w:tcPr>
            <w:tcW w:type="dxa" w:w="1901"/>
            <w:shd w:fill="FFFFFF" w:color="auto" w:val="clear"/>
          </w:tcPr>
          <w:p>
            <w:r>
              <w:rPr>
                <w:color w:val="2A2622"/>
                <w:sz w:val="18"/>
              </w:rPr>
              <w:t>messaging alert integration</w:t>
            </w:r>
          </w:p>
        </w:tc>
        <w:tc>
          <w:tcPr>
            <w:tcW w:type="dxa" w:w="1901"/>
            <w:shd w:fill="FFFFFF" w:color="auto" w:val="clear"/>
          </w:tcPr>
          <w:p>
            <w:r>
              <w:rPr>
                <w:color w:val="2A2622"/>
                <w:sz w:val="18"/>
              </w:rPr>
              <w:t>5</w:t>
            </w:r>
          </w:p>
        </w:tc>
        <w:tc>
          <w:tcPr>
            <w:tcW w:type="dxa" w:w="1901"/>
            <w:shd w:fill="FFFFFF" w:color="auto" w:val="clear"/>
          </w:tcPr>
          <w:p>
            <w:r>
              <w:rPr>
                <w:color w:val="2A2622"/>
                <w:sz w:val="18"/>
              </w:rPr>
              <w:t>Priya Nair</w:t>
            </w:r>
          </w:p>
        </w:tc>
        <w:tc>
          <w:tcPr>
            <w:tcW w:type="dxa" w:w="1901"/>
            <w:shd w:fill="FFFFFF" w:color="auto" w:val="clear"/>
          </w:tcPr>
          <w:p>
            <w:r>
              <w:rPr>
                <w:color w:val="2A2622"/>
                <w:sz w:val="18"/>
              </w:rPr>
              <w:t>Done</w:t>
            </w:r>
          </w:p>
        </w:tc>
      </w:tr>
      <w:tr>
        <w:tc>
          <w:tcPr>
            <w:tcW w:type="dxa" w:w="1901"/>
            <w:shd w:fill="FAF4E8" w:color="auto" w:val="clear"/>
          </w:tcPr>
          <w:p>
            <w:r>
              <w:rPr>
                <w:color w:val="2A2622"/>
                <w:sz w:val="18"/>
              </w:rPr>
              <w:t>NS-F007</w:t>
            </w:r>
          </w:p>
        </w:tc>
        <w:tc>
          <w:tcPr>
            <w:tcW w:type="dxa" w:w="1901"/>
            <w:shd w:fill="FAF4E8" w:color="auto" w:val="clear"/>
          </w:tcPr>
          <w:p>
            <w:r>
              <w:rPr>
                <w:color w:val="2A2622"/>
                <w:sz w:val="18"/>
              </w:rPr>
              <w:t>Cohort comparison table</w:t>
            </w:r>
          </w:p>
        </w:tc>
        <w:tc>
          <w:tcPr>
            <w:tcW w:type="dxa" w:w="1901"/>
            <w:shd w:fill="FAF4E8" w:color="auto" w:val="clear"/>
          </w:tcPr>
          <w:p>
            <w:r>
              <w:rPr>
                <w:color w:val="2A2622"/>
                <w:sz w:val="18"/>
              </w:rPr>
              <w:t>8</w:t>
            </w:r>
          </w:p>
        </w:tc>
        <w:tc>
          <w:tcPr>
            <w:tcW w:type="dxa" w:w="1901"/>
            <w:shd w:fill="FAF4E8" w:color="auto" w:val="clear"/>
          </w:tcPr>
          <w:p>
            <w:r>
              <w:rPr>
                <w:color w:val="2A2622"/>
                <w:sz w:val="18"/>
              </w:rPr>
              <w:t>Dana Cruz + Ryan Iyer</w:t>
            </w:r>
          </w:p>
        </w:tc>
        <w:tc>
          <w:tcPr>
            <w:tcW w:type="dxa" w:w="1901"/>
            <w:shd w:fill="FAF4E8" w:color="auto" w:val="clear"/>
          </w:tcPr>
          <w:p>
            <w:r>
              <w:rPr>
                <w:color w:val="2A2622"/>
                <w:sz w:val="18"/>
              </w:rPr>
              <w:t>Done</w:t>
            </w:r>
          </w:p>
        </w:tc>
      </w:tr>
      <w:tr>
        <w:tc>
          <w:tcPr>
            <w:tcW w:type="dxa" w:w="1901"/>
            <w:shd w:fill="FFFFFF" w:color="auto" w:val="clear"/>
          </w:tcPr>
          <w:p>
            <w:r>
              <w:rPr>
                <w:color w:val="2A2622"/>
                <w:sz w:val="18"/>
              </w:rPr>
              <w:t>NS-UI-07</w:t>
            </w:r>
          </w:p>
        </w:tc>
        <w:tc>
          <w:tcPr>
            <w:tcW w:type="dxa" w:w="1901"/>
            <w:shd w:fill="FFFFFF" w:color="auto" w:val="clear"/>
          </w:tcPr>
          <w:p>
            <w:r>
              <w:rPr>
                <w:color w:val="2A2622"/>
                <w:sz w:val="18"/>
              </w:rPr>
              <w:t>the messaging platform config UI polish</w:t>
            </w:r>
          </w:p>
        </w:tc>
        <w:tc>
          <w:tcPr>
            <w:tcW w:type="dxa" w:w="1901"/>
            <w:shd w:fill="FFFFFF" w:color="auto" w:val="clear"/>
          </w:tcPr>
          <w:p>
            <w:r>
              <w:rPr>
                <w:color w:val="2A2622"/>
                <w:sz w:val="18"/>
              </w:rPr>
              <w:t>2</w:t>
            </w:r>
          </w:p>
        </w:tc>
        <w:tc>
          <w:tcPr>
            <w:tcW w:type="dxa" w:w="1901"/>
            <w:shd w:fill="FFFFFF" w:color="auto" w:val="clear"/>
          </w:tcPr>
          <w:p>
            <w:r>
              <w:rPr>
                <w:color w:val="2A2622"/>
                <w:sz w:val="18"/>
              </w:rPr>
              <w:t>Dana Cruz</w:t>
            </w:r>
          </w:p>
        </w:tc>
        <w:tc>
          <w:tcPr>
            <w:tcW w:type="dxa" w:w="1901"/>
            <w:shd w:fill="FFFFFF" w:color="auto" w:val="clear"/>
          </w:tcPr>
          <w:p>
            <w:r>
              <w:rPr>
                <w:color w:val="2A2622"/>
                <w:sz w:val="18"/>
              </w:rPr>
              <w:t>Rolled to hypercare</w:t>
            </w:r>
          </w:p>
        </w:tc>
      </w:tr>
      <w:tr>
        <w:tc>
          <w:tcPr>
            <w:tcW w:type="dxa" w:w="1901"/>
            <w:shd w:fill="FAF4E8" w:color="auto" w:val="clear"/>
          </w:tcPr>
          <w:p>
            <w:r>
              <w:rPr>
                <w:color w:val="2A2622"/>
                <w:sz w:val="18"/>
              </w:rPr>
              <w:t>NS-BUG-14a</w:t>
            </w:r>
          </w:p>
        </w:tc>
        <w:tc>
          <w:tcPr>
            <w:tcW w:type="dxa" w:w="1901"/>
            <w:shd w:fill="FAF4E8" w:color="auto" w:val="clear"/>
          </w:tcPr>
          <w:p>
            <w:r>
              <w:rPr>
                <w:color w:val="2A2622"/>
                <w:sz w:val="18"/>
              </w:rPr>
              <w:t>Safari memory leak fix</w:t>
            </w:r>
          </w:p>
        </w:tc>
        <w:tc>
          <w:tcPr>
            <w:tcW w:type="dxa" w:w="1901"/>
            <w:shd w:fill="FAF4E8" w:color="auto" w:val="clear"/>
          </w:tcPr>
          <w:p>
            <w:r>
              <w:rPr>
                <w:color w:val="2A2622"/>
                <w:sz w:val="18"/>
              </w:rPr>
              <w:t>3</w:t>
            </w:r>
          </w:p>
        </w:tc>
        <w:tc>
          <w:tcPr>
            <w:tcW w:type="dxa" w:w="1901"/>
            <w:shd w:fill="FAF4E8" w:color="auto" w:val="clear"/>
          </w:tcPr>
          <w:p>
            <w:r>
              <w:rPr>
                <w:color w:val="2A2622"/>
                <w:sz w:val="18"/>
              </w:rPr>
              <w:t>James Okafor</w:t>
            </w:r>
          </w:p>
        </w:tc>
        <w:tc>
          <w:tcPr>
            <w:tcW w:type="dxa" w:w="1901"/>
            <w:shd w:fill="FAF4E8" w:color="auto" w:val="clear"/>
          </w:tcPr>
          <w:p>
            <w:r>
              <w:rPr>
                <w:color w:val="2A2622"/>
                <w:sz w:val="18"/>
              </w:rPr>
              <w:t>Done</w:t>
            </w:r>
          </w:p>
        </w:tc>
      </w:tr>
      <w:tr>
        <w:tc>
          <w:tcPr>
            <w:tcW w:type="dxa" w:w="1901"/>
            <w:shd w:fill="FFFFFF" w:color="auto" w:val="clear"/>
          </w:tcPr>
          <w:p>
            <w:r>
              <w:rPr>
                <w:color w:val="2A2622"/>
                <w:sz w:val="18"/>
              </w:rPr>
              <w:t>NS-BUG-14b</w:t>
            </w:r>
          </w:p>
        </w:tc>
        <w:tc>
          <w:tcPr>
            <w:tcW w:type="dxa" w:w="1901"/>
            <w:shd w:fill="FFFFFF" w:color="auto" w:val="clear"/>
          </w:tcPr>
          <w:p>
            <w:r>
              <w:rPr>
                <w:color w:val="2A2622"/>
                <w:sz w:val="18"/>
              </w:rPr>
              <w:t>Idempotency retry fix</w:t>
            </w:r>
          </w:p>
        </w:tc>
        <w:tc>
          <w:tcPr>
            <w:tcW w:type="dxa" w:w="1901"/>
            <w:shd w:fill="FFFFFF" w:color="auto" w:val="clear"/>
          </w:tcPr>
          <w:p>
            <w:r>
              <w:rPr>
                <w:color w:val="2A2622"/>
                <w:sz w:val="18"/>
              </w:rPr>
              <w:t>2</w:t>
            </w:r>
          </w:p>
        </w:tc>
        <w:tc>
          <w:tcPr>
            <w:tcW w:type="dxa" w:w="1901"/>
            <w:shd w:fill="FFFFFF" w:color="auto" w:val="clear"/>
          </w:tcPr>
          <w:p>
            <w:r>
              <w:rPr>
                <w:color w:val="2A2622"/>
                <w:sz w:val="18"/>
              </w:rPr>
              <w:t>Alex Park</w:t>
            </w:r>
          </w:p>
        </w:tc>
        <w:tc>
          <w:tcPr>
            <w:tcW w:type="dxa" w:w="1901"/>
            <w:shd w:fill="FFFFFF" w:color="auto" w:val="clear"/>
          </w:tcPr>
          <w:p>
            <w:r>
              <w:rPr>
                <w:color w:val="2A2622"/>
                <w:sz w:val="18"/>
              </w:rPr>
              <w:t>Done</w:t>
            </w:r>
          </w:p>
        </w:tc>
      </w:tr>
    </w:tbl>
    <w:p/>
    <w:p>
      <w:r>
        <w:br w:type="page"/>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