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9E3B2E"/>
          <w:sz w:val="32"/>
        </w:rPr>
        <w:t>Vantage Loop Growth and Analytics Pod</w:t>
      </w:r>
    </w:p>
    <w:p>
      <w:r>
        <w:rPr>
          <w:i/>
          <w:color w:val="7C7466"/>
          <w:sz w:val="20"/>
        </w:rPr>
        <w:t>Q4 2026 Quarterly Business Review | Prepared by Stephanie Wells | Doc ID: D07</w:t>
      </w:r>
    </w:p>
    <w:p/>
    <w:p>
      <w:pPr>
        <w:pStyle w:val="Heading2"/>
      </w:pPr>
      <w:r>
        <w:rPr>
          <w:color w:val="9E3B2E"/>
          <w:sz w:val="23"/>
        </w:rPr>
        <w:t>1. Quarter Summary</w:t>
      </w:r>
    </w:p>
    <w:p>
      <w:pPr>
        <w:spacing w:after="120"/>
      </w:pPr>
      <w:r>
        <w:t>Q4 2026 (October through December 2026) was the most consequential quarter for the Growth and Analytics pod in Vantage Loop's history. Northstar launched to general availability on November 13, 2026, completing a 13-month build. The launch was on time, on scope, and above NPS target. The pod is now transitioning to post-launch iteration and planning the Q1 2027 roadmap. This QBR covers product, engineering, customer, and team health metrics for the quarter.</w:t>
      </w:r>
    </w:p>
    <w:p>
      <w:pPr>
        <w:pStyle w:val="Heading2"/>
      </w:pPr>
      <w:r>
        <w:rPr>
          <w:color w:val="9E3B2E"/>
          <w:sz w:val="23"/>
        </w:rPr>
        <w:t>2. Product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901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901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901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Delta</w:t>
            </w:r>
          </w:p>
        </w:tc>
        <w:tc>
          <w:tcPr>
            <w:tcW w:type="dxa" w:w="1901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30-day pilot retention</w:t>
            </w:r>
          </w:p>
        </w:tc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40%</w:t>
            </w:r>
          </w:p>
        </w:tc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41.2%</w:t>
            </w:r>
          </w:p>
        </w:tc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+1.2pp</w:t>
            </w:r>
          </w:p>
        </w:tc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the analytics platform</w:t>
            </w:r>
          </w:p>
        </w:tc>
      </w:tr>
      <w:tr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Pilot NPS</w:t>
            </w:r>
          </w:p>
        </w:tc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8.0</w:t>
            </w:r>
          </w:p>
        </w:tc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9.3</w:t>
            </w:r>
          </w:p>
        </w:tc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+1.3</w:t>
            </w:r>
          </w:p>
        </w:tc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the survey tool cycle 4</w:t>
            </w:r>
          </w:p>
        </w:tc>
      </w:tr>
      <w:tr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GA launch date</w:t>
            </w:r>
          </w:p>
        </w:tc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Nov 13, 2026</w:t>
            </w:r>
          </w:p>
        </w:tc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Nov 13, 2026</w:t>
            </w:r>
          </w:p>
        </w:tc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On time</w:t>
            </w:r>
          </w:p>
        </w:tc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the project tracker</w:t>
            </w:r>
          </w:p>
        </w:tc>
      </w:tr>
      <w:tr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Post-launch P0 bugs (14 days)</w:t>
            </w:r>
          </w:p>
        </w:tc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0</w:t>
            </w:r>
          </w:p>
        </w:tc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0</w:t>
            </w:r>
          </w:p>
        </w:tc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Met</w:t>
            </w:r>
          </w:p>
        </w:tc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the error-tracking tool</w:t>
            </w:r>
          </w:p>
        </w:tc>
      </w:tr>
      <w:tr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Support ticket reduction (Enterprise)</w:t>
            </w:r>
          </w:p>
        </w:tc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30%</w:t>
            </w:r>
          </w:p>
        </w:tc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34%</w:t>
            </w:r>
          </w:p>
        </w:tc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+4pp</w:t>
            </w:r>
          </w:p>
        </w:tc>
        <w:tc>
          <w:tcPr>
            <w:tcW w:type="dxa" w:w="1901"/>
            <w:shd w:fill="FAF4E8" w:color="auto" w:val="clear"/>
          </w:tcPr>
          <w:p>
            <w:r>
              <w:rPr>
                <w:color w:val="2A2622"/>
                <w:sz w:val="18"/>
              </w:rPr>
              <w:t>the support platform Q4</w:t>
            </w:r>
          </w:p>
        </w:tc>
      </w:tr>
      <w:tr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Avg dashboard load time (P95)</w:t>
            </w:r>
          </w:p>
        </w:tc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under 2 sec</w:t>
            </w:r>
          </w:p>
        </w:tc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1.8 sec</w:t>
            </w:r>
          </w:p>
        </w:tc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Met</w:t>
            </w:r>
          </w:p>
        </w:tc>
        <w:tc>
          <w:tcPr>
            <w:tcW w:type="dxa" w:w="1901"/>
            <w:shd w:fill="FFFFFF" w:color="auto" w:val="clear"/>
          </w:tcPr>
          <w:p>
            <w:r>
              <w:rPr>
                <w:color w:val="2A2622"/>
                <w:sz w:val="18"/>
              </w:rPr>
              <w:t>the monitoring platform</w:t>
            </w:r>
          </w:p>
        </w:tc>
      </w:tr>
    </w:tbl>
    <w:p/>
    <w:p>
      <w:pPr>
        <w:pStyle w:val="Heading2"/>
      </w:pPr>
      <w:r>
        <w:rPr>
          <w:color w:val="9E3B2E"/>
          <w:sz w:val="23"/>
        </w:rPr>
        <w:t>3. Feature Delivery</w:t>
      </w:r>
    </w:p>
    <w:p>
      <w:pPr>
        <w:spacing w:after="120"/>
      </w:pPr>
      <w:r>
        <w:t>All 8 in-scope features shipped as planned. Zero features rolled into post-launch outside of the 4 features designated at feature freeze. Sprint velocity averaged 92 percent across S12 through S14. See X02.xlsx for full sprint log.</w:t>
      </w:r>
    </w:p>
    <w:p>
      <w:pPr>
        <w:pStyle w:val="Heading2"/>
      </w:pPr>
      <w:r>
        <w:rPr>
          <w:color w:val="9E3B2E"/>
          <w:sz w:val="23"/>
        </w:rPr>
        <w:t>4. Pilot Customer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1584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84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584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Churn Risk</w:t>
            </w:r>
          </w:p>
        </w:tc>
        <w:tc>
          <w:tcPr>
            <w:tcW w:type="dxa" w:w="1584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Expansion Signal</w:t>
            </w:r>
          </w:p>
        </w:tc>
        <w:tc>
          <w:tcPr>
            <w:tcW w:type="dxa" w:w="1584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Next Action</w:t>
            </w:r>
          </w:p>
        </w:tc>
      </w:tr>
      <w:tr>
        <w:tc>
          <w:tcPr>
            <w:tcW w:type="dxa" w:w="1584"/>
            <w:shd w:fill="FAF4E8" w:color="auto" w:val="clear"/>
          </w:tcPr>
          <w:p>
            <w:r>
              <w:rPr>
                <w:color w:val="2A2622"/>
                <w:sz w:val="18"/>
              </w:rPr>
              <w:t>Meridian Capital Partners</w:t>
            </w:r>
          </w:p>
        </w:tc>
        <w:tc>
          <w:tcPr>
            <w:tcW w:type="dxa" w:w="1584"/>
            <w:shd w:fill="FAF4E8" w:color="auto" w:val="clear"/>
          </w:tcPr>
          <w:p>
            <w:r>
              <w:rPr>
                <w:color w:val="2A2622"/>
                <w:sz w:val="18"/>
              </w:rPr>
              <w:t>ENT-PC-001</w:t>
            </w:r>
          </w:p>
        </w:tc>
        <w:tc>
          <w:tcPr>
            <w:tcW w:type="dxa" w:w="1584"/>
            <w:shd w:fill="FAF4E8" w:color="auto" w:val="clear"/>
          </w:tcPr>
          <w:p>
            <w:r>
              <w:rPr>
                <w:color w:val="2A2622"/>
                <w:sz w:val="18"/>
              </w:rPr>
              <w:t>9</w:t>
            </w:r>
          </w:p>
        </w:tc>
        <w:tc>
          <w:tcPr>
            <w:tcW w:type="dxa" w:w="1584"/>
            <w:shd w:fill="FAF4E8" w:color="auto" w:val="clear"/>
          </w:tcPr>
          <w:p>
            <w:r>
              <w:rPr>
                <w:color w:val="2A2622"/>
                <w:sz w:val="18"/>
              </w:rPr>
              <w:t>None</w:t>
            </w:r>
          </w:p>
        </w:tc>
        <w:tc>
          <w:tcPr>
            <w:tcW w:type="dxa" w:w="1584"/>
            <w:shd w:fill="FAF4E8" w:color="auto" w:val="clear"/>
          </w:tcPr>
          <w:p>
            <w:r>
              <w:rPr>
                <w:color w:val="2A2622"/>
                <w:sz w:val="18"/>
              </w:rPr>
              <w:t>Interested in API access</w:t>
            </w:r>
          </w:p>
        </w:tc>
        <w:tc>
          <w:tcPr>
            <w:tcW w:type="dxa" w:w="1584"/>
            <w:shd w:fill="FAF4E8" w:color="auto" w:val="clear"/>
          </w:tcPr>
          <w:p>
            <w:r>
              <w:rPr>
                <w:color w:val="2A2622"/>
                <w:sz w:val="18"/>
              </w:rPr>
              <w:t>Schedule Q1 2027 EBR</w:t>
            </w:r>
          </w:p>
        </w:tc>
      </w:tr>
      <w:tr>
        <w:tc>
          <w:tcPr>
            <w:tcW w:type="dxa" w:w="1584"/>
            <w:shd w:fill="FFFFFF" w:color="auto" w:val="clear"/>
          </w:tcPr>
          <w:p>
            <w:r>
              <w:rPr>
                <w:color w:val="2A2622"/>
                <w:sz w:val="18"/>
              </w:rPr>
              <w:t>Thornfield Systems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color w:val="2A2622"/>
                <w:sz w:val="18"/>
              </w:rPr>
              <w:t>ENT-PC-002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color w:val="2A2622"/>
                <w:sz w:val="18"/>
              </w:rPr>
              <w:t>9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color w:val="2A2622"/>
                <w:sz w:val="18"/>
              </w:rPr>
              <w:t>None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color w:val="2A2622"/>
                <w:sz w:val="18"/>
              </w:rPr>
              <w:t>Asking about multi-workspace</w:t>
            </w:r>
          </w:p>
        </w:tc>
        <w:tc>
          <w:tcPr>
            <w:tcW w:type="dxa" w:w="1584"/>
            <w:shd w:fill="FFFFFF" w:color="auto" w:val="clear"/>
          </w:tcPr>
          <w:p>
            <w:r>
              <w:rPr>
                <w:color w:val="2A2622"/>
                <w:sz w:val="18"/>
              </w:rPr>
              <w:t>Include in NS-F011 beta</w:t>
            </w:r>
          </w:p>
        </w:tc>
      </w:tr>
      <w:tr>
        <w:tc>
          <w:tcPr>
            <w:tcW w:type="dxa" w:w="1584"/>
            <w:shd w:fill="FAF4E8" w:color="auto" w:val="clear"/>
          </w:tcPr>
          <w:p>
            <w:r>
              <w:rPr>
                <w:color w:val="2A2622"/>
                <w:sz w:val="18"/>
              </w:rPr>
              <w:t>Atlas Growth Labs</w:t>
            </w:r>
          </w:p>
        </w:tc>
        <w:tc>
          <w:tcPr>
            <w:tcW w:type="dxa" w:w="1584"/>
            <w:shd w:fill="FAF4E8" w:color="auto" w:val="clear"/>
          </w:tcPr>
          <w:p>
            <w:r>
              <w:rPr>
                <w:color w:val="2A2622"/>
                <w:sz w:val="18"/>
              </w:rPr>
              <w:t>ENT-PC-003</w:t>
            </w:r>
          </w:p>
        </w:tc>
        <w:tc>
          <w:tcPr>
            <w:tcW w:type="dxa" w:w="1584"/>
            <w:shd w:fill="FAF4E8" w:color="auto" w:val="clear"/>
          </w:tcPr>
          <w:p>
            <w:r>
              <w:rPr>
                <w:color w:val="2A2622"/>
                <w:sz w:val="18"/>
              </w:rPr>
              <w:t>10</w:t>
            </w:r>
          </w:p>
        </w:tc>
        <w:tc>
          <w:tcPr>
            <w:tcW w:type="dxa" w:w="1584"/>
            <w:shd w:fill="FAF4E8" w:color="auto" w:val="clear"/>
          </w:tcPr>
          <w:p>
            <w:r>
              <w:rPr>
                <w:color w:val="2A2622"/>
                <w:sz w:val="18"/>
              </w:rPr>
              <w:t>None</w:t>
            </w:r>
          </w:p>
        </w:tc>
        <w:tc>
          <w:tcPr>
            <w:tcW w:type="dxa" w:w="1584"/>
            <w:shd w:fill="FAF4E8" w:color="auto" w:val="clear"/>
          </w:tcPr>
          <w:p>
            <w:r>
              <w:rPr>
                <w:color w:val="2A2622"/>
                <w:sz w:val="18"/>
              </w:rPr>
              <w:t>Wants white-label branding</w:t>
            </w:r>
          </w:p>
        </w:tc>
        <w:tc>
          <w:tcPr>
            <w:tcW w:type="dxa" w:w="1584"/>
            <w:shd w:fill="FAF4E8" w:color="auto" w:val="clear"/>
          </w:tcPr>
          <w:p>
            <w:r>
              <w:rPr>
                <w:color w:val="2A2622"/>
                <w:sz w:val="18"/>
              </w:rPr>
              <w:t>NS-F012 H1 2027 timeline</w:t>
            </w:r>
          </w:p>
        </w:tc>
      </w:tr>
    </w:tbl>
    <w:p/>
    <w:p>
      <w:pPr>
        <w:pStyle w:val="Heading2"/>
      </w:pPr>
      <w:r>
        <w:rPr>
          <w:color w:val="9E3B2E"/>
          <w:sz w:val="23"/>
        </w:rPr>
        <w:t>5. Team Health</w:t>
      </w:r>
    </w:p>
    <w:p>
      <w:pPr>
        <w:pStyle w:val="ListBullet"/>
        <w:spacing w:after="60"/>
      </w:pPr>
      <w:r>
        <w:t>No attrition in Q4. Full team intact: Megan Shaw (eng lead), Tomoko Hayashi (design), Ryan Iyer (data), Alex Park, Dana Cruz, Priya Nair, James Okafor (all engineers).</w:t>
      </w:r>
    </w:p>
    <w:p>
      <w:pPr>
        <w:pStyle w:val="ListBullet"/>
        <w:spacing w:after="60"/>
      </w:pPr>
      <w:r>
        <w:t>Morale is high post-launch. Team celebrated with a dinner at Burma Superstar on November 14, 2026. Expense: $520, within the $600 team-event budget.</w:t>
      </w:r>
    </w:p>
    <w:p>
      <w:pPr>
        <w:pStyle w:val="ListBullet"/>
        <w:spacing w:after="60"/>
      </w:pPr>
      <w:r>
        <w:t>Two engineers have flagged interest in a technical leadership rotation. James Okafor (patch speed on Safari bug) is a strong candidate.</w:t>
      </w:r>
    </w:p>
    <w:p>
      <w:pPr>
        <w:pStyle w:val="ListBullet"/>
        <w:spacing w:after="60"/>
      </w:pPr>
      <w:r>
        <w:t>Design: Tomoko is being recruited. Risk flag. Career conversation scheduled for December 2026.</w:t>
      </w:r>
    </w:p>
    <w:p>
      <w:pPr>
        <w:pStyle w:val="Heading2"/>
      </w:pPr>
      <w:r>
        <w:rPr>
          <w:color w:val="9E3B2E"/>
          <w:sz w:val="23"/>
        </w:rPr>
        <w:t>6. Q1 2027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76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Feature/Initiative</w:t>
            </w:r>
          </w:p>
        </w:tc>
        <w:tc>
          <w:tcPr>
            <w:tcW w:type="dxa" w:w="2376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376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Target Quarter</w:t>
            </w:r>
          </w:p>
        </w:tc>
      </w:tr>
      <w:tr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P1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NS-F011 Enterprise API access, scoping and design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Stephanie Wells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Q1 2027</w:t>
            </w:r>
          </w:p>
        </w:tc>
      </w:tr>
      <w:tr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P1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NS-F009 Benchmark overlay, pilot with ENT-PC-001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Ryan Iyer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Q1 2027</w:t>
            </w:r>
          </w:p>
        </w:tc>
      </w:tr>
      <w:tr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P2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NS-F008 Annotation layer, light MVP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Tomoko Hayashi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Q1 2027</w:t>
            </w:r>
          </w:p>
        </w:tc>
      </w:tr>
      <w:tr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P2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Performance headroom: ClickHouse query optimization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Megan Shaw</w:t>
            </w:r>
          </w:p>
        </w:tc>
        <w:tc>
          <w:tcPr>
            <w:tcW w:type="dxa" w:w="2376"/>
            <w:shd w:fill="FFFFFF" w:color="auto" w:val="clear"/>
          </w:tcPr>
          <w:p>
            <w:r>
              <w:rPr>
                <w:color w:val="2A2622"/>
                <w:sz w:val="18"/>
              </w:rPr>
              <w:t>Q1 2027</w:t>
            </w:r>
          </w:p>
        </w:tc>
      </w:tr>
      <w:tr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P3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Northstar mobile-responsive layout (not native)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Dana Cruz</w:t>
            </w:r>
          </w:p>
        </w:tc>
        <w:tc>
          <w:tcPr>
            <w:tcW w:type="dxa" w:w="2376"/>
            <w:shd w:fill="FAF4E8" w:color="auto" w:val="clear"/>
          </w:tcPr>
          <w:p>
            <w:r>
              <w:rPr>
                <w:color w:val="2A2622"/>
                <w:sz w:val="18"/>
              </w:rPr>
              <w:t>Q2 2027</w:t>
            </w:r>
          </w:p>
        </w:tc>
      </w:tr>
    </w:tbl>
    <w:p/>
    <w:p>
      <w:pPr>
        <w:pStyle w:val="Heading2"/>
      </w:pPr>
      <w:r>
        <w:rPr>
          <w:color w:val="9E3B2E"/>
          <w:sz w:val="23"/>
        </w:rPr>
        <w:t>7. Risks and Flags</w:t>
      </w:r>
    </w:p>
    <w:p>
      <w:pPr>
        <w:pStyle w:val="ListBullet"/>
        <w:spacing w:after="60"/>
      </w:pPr>
      <w:r>
        <w:t>Tomoko Hayashi: retention risk. 1:1 with Carlos Rivera scheduled December 2026.</w:t>
      </w:r>
    </w:p>
    <w:p>
      <w:pPr>
        <w:pStyle w:val="ListBullet"/>
        <w:spacing w:after="60"/>
      </w:pPr>
      <w:r>
        <w:t>API access feature (NS-F011): security review timeline is the unknown. Security team has 4-week backlog. Need to start the review request in November.</w:t>
      </w:r>
    </w:p>
    <w:p>
      <w:pPr>
        <w:pStyle w:val="ListBullet"/>
        <w:spacing w:after="60"/>
      </w:pPr>
      <w:r>
        <w:t>PM capacity: Stephanie returns from wedding-adjacent leave at full capacity November 17. Q4 was managed but Q1 2027 should have a stronger PM deputy arrangement.</w:t>
      </w:r>
    </w:p>
    <w:p>
      <w:pPr>
        <w:pStyle w:val="Heading2"/>
      </w:pPr>
      <w:r>
        <w:rPr>
          <w:color w:val="9E3B2E"/>
          <w:sz w:val="23"/>
        </w:rPr>
        <w:t>8. Metrics Glossary</w:t>
      </w:r>
    </w:p>
    <w:p>
      <w:pPr>
        <w:spacing w:after="120"/>
      </w:pPr>
      <w:r>
        <w:t>Retention: 30-day cohort retention, defined as users who performed a product event within 30 days of their first Northstar session. Source: the analytics platform. NPS: the survey tool survey sent after each pilot feedback cycle; scale 1 to 10, Promoters 9 to 10, Passives 7 to 8, Detractors 1 to 6. Dashboard load time: P95 measured by the monitoring platform RUM, 7-day rolling window. the error-tracking tool error rate: percentage of sessions with at least one JavaScript error.</w:t>
      </w:r>
    </w:p>
    <w:p>
      <w:r>
        <w:br w:type="page"/>
      </w:r>
    </w:p>
    <w:sectPr w:rsidR="00FC693F" w:rsidRPr="0006063C" w:rsidSect="00034616"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6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