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Daily Protocol and Morning Routine</w:t>
      </w:r>
    </w:p>
    <w:p>
      <w:r>
        <w:t>The day is built around an early start and a hard training window. This is the routine that keeps recovery and performance on rails.</w:t>
      </w:r>
    </w:p>
    <w:p>
      <w:r>
        <w:rPr>
          <w:b/>
          <w:sz w:val="24"/>
        </w:rPr>
        <w:t>Morning</w:t>
      </w:r>
    </w:p>
    <w:p>
      <w:r>
        <w:t>4:45 wake. One black coffee from the Chemex with Counter Culture beans. Then the smoothie, which is whey protein, a banana, a handful of spinach, a spoon of almond butter, and five grams of creatine. Vitamin D at 4000 units and fish oil go down with the smoothie.</w:t>
      </w:r>
    </w:p>
    <w:p>
      <w:r>
        <w:t>5:15 CrossFit at Buckhead on Monday, Tuesday, Thursday, Friday, and Saturday. Home by 6:30 on clinic days to help with the twins.</w:t>
      </w:r>
    </w:p>
    <w:p>
      <w:r>
        <w:rPr>
          <w:b/>
          <w:sz w:val="24"/>
        </w:rPr>
        <w:t>Daytime</w:t>
      </w:r>
    </w:p>
    <w:p>
      <w:r>
        <w:t>Switch from black coffee to green tea at noon. Lunch is the prepped chicken, rice, and roasted vegetables. Protein target across the day is about 200 grams. Water stays steady, more on the heavy training days.</w:t>
      </w:r>
    </w:p>
    <w:p>
      <w:r>
        <w:rPr>
          <w:b/>
          <w:sz w:val="24"/>
        </w:rPr>
        <w:t>Evening</w:t>
      </w:r>
    </w:p>
    <w:p>
      <w:r>
        <w:t>Magnesium glycinate at 9:00 to wind down toward a 9:30 lights out. Sleep target is 9:30 to 4:45.</w:t>
      </w:r>
    </w:p>
    <w:p>
      <w:r>
        <w:rPr>
          <w:b/>
          <w:sz w:val="24"/>
        </w:rPr>
        <w:t>Recovery Rules</w:t>
      </w:r>
    </w:p>
    <w:p>
      <w:r>
        <w:t>Read the WHOOP score in the morning. On a green day push the session as written. On a red day scale the volume and keep the intensity honest but lower. Recovery has been averaging in the high seventies to mid eighties. The right shoulder gets its maintenance work regardless of the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Hall</dc:creator>
  <cp:lastModifiedBy>Brian Hall</cp:lastModifiedBy>
  <dcterms:created xsi:type="dcterms:W3CDTF">2026-02-01T06:00:00Z</dcterms:created>
  <dcterms:modified xsi:type="dcterms:W3CDTF">2026-02-01T06:00:00Z</dcterms:modified>
</cp:coreProperties>
</file>