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Research Paper Outline</w:t>
      </w:r>
    </w:p>
    <w:p>
      <w:r>
        <w:t>Working title: Participatory Budgeting and Trust in Midsize City Governments</w:t>
      </w:r>
    </w:p>
    <w:p>
      <w:r>
        <w:t>Course: PST 410, Methods of Public Policy Analysis. Prepared November 2025 for review with Dr. Helen Voss.</w:t>
      </w:r>
    </w:p>
    <w:p>
      <w:r>
        <w:rPr>
          <w:b/>
          <w:sz w:val="24"/>
        </w:rPr>
        <w:t>Thesis</w:t>
      </w:r>
    </w:p>
    <w:p>
      <w:r>
        <w:t>When midsize cities open a share of capital spending to direct resident voting, measurable gains in process trust follow, but only where the city pairs the vote with clear reporting on what was funded and built.</w:t>
      </w:r>
    </w:p>
    <w:p>
      <w:r>
        <w:rPr>
          <w:b/>
          <w:sz w:val="24"/>
        </w:rPr>
        <w:t>I. Introduction</w:t>
      </w:r>
    </w:p>
    <w:p>
      <w:pPr>
        <w:pStyle w:val="ListBullet"/>
      </w:pPr>
      <w:r>
        <w:t>Define participatory budgeting and its spread across North American cities since the late 2000s.</w:t>
      </w:r>
    </w:p>
    <w:p>
      <w:pPr>
        <w:pStyle w:val="ListBullet"/>
      </w:pPr>
      <w:r>
        <w:t>Narrow the question to cities between 100,000 and 400,000 residents, where Syracuse sits.</w:t>
      </w:r>
    </w:p>
    <w:p>
      <w:r>
        <w:rPr>
          <w:b/>
          <w:sz w:val="24"/>
        </w:rPr>
        <w:t>II. Literature and gaps</w:t>
      </w:r>
    </w:p>
    <w:p>
      <w:pPr>
        <w:pStyle w:val="ListBullet"/>
      </w:pPr>
      <w:r>
        <w:t>Summarize trust studies that treat budgeting as a closed staff process.</w:t>
      </w:r>
    </w:p>
    <w:p>
      <w:pPr>
        <w:pStyle w:val="ListBullet"/>
      </w:pPr>
      <w:r>
        <w:t>Identify the gap, few studies separate the vote itself from the follow up reporting.</w:t>
      </w:r>
    </w:p>
    <w:p>
      <w:r>
        <w:rPr>
          <w:b/>
          <w:sz w:val="24"/>
        </w:rPr>
        <w:t>III. Method</w:t>
      </w:r>
    </w:p>
    <w:p>
      <w:pPr>
        <w:pStyle w:val="ListBullet"/>
      </w:pPr>
      <w:r>
        <w:t>Compare three city cases over a five year window using published budget documents and resident survey data.</w:t>
      </w:r>
    </w:p>
    <w:p>
      <w:pPr>
        <w:pStyle w:val="ListBullet"/>
      </w:pPr>
      <w:r>
        <w:t>Code each case for presence of a public results report after the vote.</w:t>
      </w:r>
    </w:p>
    <w:p>
      <w:r>
        <w:rPr>
          <w:b/>
          <w:sz w:val="24"/>
        </w:rPr>
        <w:t>IV. Expected findings</w:t>
      </w:r>
    </w:p>
    <w:p>
      <w:pPr>
        <w:pStyle w:val="ListBullet"/>
      </w:pPr>
      <w:r>
        <w:t>Trust gains concentrate in the cities that close the loop with a results report.</w:t>
      </w:r>
    </w:p>
    <w:p>
      <w:r>
        <w:rPr>
          <w:b/>
          <w:sz w:val="24"/>
        </w:rPr>
        <w:t>V. Limitations and next steps</w:t>
      </w:r>
    </w:p>
    <w:p>
      <w:pPr>
        <w:pStyle w:val="ListBullet"/>
      </w:pPr>
      <w:r>
        <w:t>Survey timing and self selection. Propose interviews for a later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Patterson</dc:creator>
  <cp:keywords/>
  <dc:description/>
  <cp:lastModifiedBy>Brian Patterson</cp:lastModifiedBy>
  <cp:revision>1</cp:revision>
  <dcterms:created xsi:type="dcterms:W3CDTF">2025-11-10T10:00:00Z</dcterms:created>
  <dcterms:modified xsi:type="dcterms:W3CDTF">2025-11-10T10:00:00Z</dcterms:modified>
</cp:coreProperties>
</file>