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MEMORANDUM</w:t>
      </w:r>
    </w:p>
    <w:p/>
    <w:tbl>
      <w:tblPr>
        <w:tblStyle w:val="TableGrid"/>
        <w:tblW w:type="auto" w:w="0"/>
        <w:tblLook w:firstColumn="1" w:firstRow="1" w:lastColumn="0" w:lastRow="0" w:noHBand="0" w:noVBand="1" w:val="04A0"/>
      </w:tblPr>
      <w:tblGrid>
        <w:gridCol w:w="4680"/>
        <w:gridCol w:w="4680"/>
      </w:tblGrid>
      <w:tr>
        <w:tc>
          <w:tcPr>
            <w:tcW w:type="dxa" w:w="4680"/>
          </w:tcPr>
          <w:p>
            <w:r>
              <w:rPr>
                <w:b/>
              </w:rPr>
              <w:t>TO:</w:t>
            </w:r>
          </w:p>
        </w:tc>
        <w:tc>
          <w:tcPr>
            <w:tcW w:type="dxa" w:w="4680"/>
          </w:tcPr>
          <w:p>
            <w:r>
              <w:rPr>
                <w:b/>
              </w:rPr>
              <w:t>Keystone Legal Aid Case File</w:t>
            </w:r>
          </w:p>
        </w:tc>
      </w:tr>
      <w:tr>
        <w:tc>
          <w:tcPr>
            <w:tcW w:type="dxa" w:w="4680"/>
          </w:tcPr>
          <w:p>
            <w:r>
              <w:t>FROM:</w:t>
            </w:r>
          </w:p>
        </w:tc>
        <w:tc>
          <w:tcPr>
            <w:tcW w:type="dxa" w:w="4680"/>
          </w:tcPr>
          <w:p>
            <w:r>
              <w:t>Grace Hatfield, Staff Attorney</w:t>
            </w:r>
          </w:p>
        </w:tc>
      </w:tr>
      <w:tr>
        <w:tc>
          <w:tcPr>
            <w:tcW w:type="dxa" w:w="4680"/>
          </w:tcPr>
          <w:p>
            <w:r>
              <w:t>DATE:</w:t>
            </w:r>
          </w:p>
        </w:tc>
        <w:tc>
          <w:tcPr>
            <w:tcW w:type="dxa" w:w="4680"/>
          </w:tcPr>
          <w:p>
            <w:r>
              <w:t>January 15, 2026</w:t>
            </w:r>
          </w:p>
        </w:tc>
      </w:tr>
      <w:tr>
        <w:tc>
          <w:tcPr>
            <w:tcW w:type="dxa" w:w="4680"/>
          </w:tcPr>
          <w:p>
            <w:r>
              <w:t>RE:</w:t>
            </w:r>
          </w:p>
        </w:tc>
        <w:tc>
          <w:tcPr>
            <w:tcW w:type="dxa" w:w="4680"/>
          </w:tcPr>
          <w:p>
            <w:r>
              <w:t>Case Summary - Franklin County Housing Class Action, Docket No. 5:24-cv-01183-NAM-DEP (N.D.N.Y.)</w:t>
            </w:r>
          </w:p>
        </w:tc>
      </w:tr>
      <w:tr>
        <w:tc>
          <w:tcPr>
            <w:tcW w:type="dxa" w:w="4680"/>
          </w:tcPr>
          <w:p>
            <w:r>
              <w:t>CLASSIFICATION:</w:t>
            </w:r>
          </w:p>
        </w:tc>
        <w:tc>
          <w:tcPr>
            <w:tcW w:type="dxa" w:w="4680"/>
          </w:tcPr>
          <w:p>
            <w:r>
              <w:t>Attorney Work Product - Privileged and Confidential</w:t>
            </w:r>
          </w:p>
        </w:tc>
      </w:tr>
    </w:tbl>
    <w:p/>
    <w:p/>
    <w:p>
      <w:r>
        <w:rPr>
          <w:b/>
          <w:sz w:val="24"/>
        </w:rPr>
        <w:t>I. Case Background</w:t>
      </w:r>
    </w:p>
    <w:p>
      <w:r>
        <w:rPr>
          <w:sz w:val="22"/>
        </w:rPr>
        <w:t>This class action was filed on March 14, 2024 in the United States District Court for the Northern District of New York, challenging discriminatory eviction practices by a consortium of property management companies operating in Franklin County, New York. The named defendants include Franklin County Property Partners LLC, Northgate Residential Management Inc., and four individual property owners collectively managing approximately 3,200 rental units serving low-income rural tenants throughout the county.</w:t>
      </w:r>
    </w:p>
    <w:p/>
    <w:p>
      <w:r>
        <w:rPr>
          <w:sz w:val="22"/>
        </w:rPr>
        <w:t>The proposed class consists of approximately 2,400 current and former tenants who have been subjected to discriminatory eviction practices, including disparate-impact discrimination on the basis of race and national origin in violation of the Fair Housing Act, 42 U.S.C. Section 3604, and the Civil Rights Act of 1866, 42 U.S.C. Section 1982.</w:t>
      </w:r>
    </w:p>
    <w:p/>
    <w:p>
      <w:r>
        <w:rPr>
          <w:b/>
          <w:sz w:val="24"/>
        </w:rPr>
        <w:t>II. Current Status</w:t>
      </w:r>
    </w:p>
    <w:p>
      <w:r>
        <w:rPr>
          <w:sz w:val="22"/>
        </w:rPr>
        <w:t>As of January 15, 2026, the case is in the discovery phase. The court has entered a scheduling order dated November 3, 2025, setting the following deadlines:</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Deadline</w:t>
            </w:r>
          </w:p>
        </w:tc>
        <w:tc>
          <w:tcPr>
            <w:tcW w:type="dxa" w:w="3120"/>
          </w:tcPr>
          <w:p>
            <w:r>
              <w:rPr>
                <w:b/>
              </w:rPr>
              <w:t>Date</w:t>
            </w:r>
          </w:p>
        </w:tc>
        <w:tc>
          <w:tcPr>
            <w:tcW w:type="dxa" w:w="3120"/>
          </w:tcPr>
          <w:p>
            <w:r>
              <w:rPr>
                <w:b/>
              </w:rPr>
              <w:t>Status</w:t>
            </w:r>
          </w:p>
        </w:tc>
      </w:tr>
      <w:tr>
        <w:tc>
          <w:tcPr>
            <w:tcW w:type="dxa" w:w="3120"/>
          </w:tcPr>
          <w:p>
            <w:r>
              <w:t>Close of Fact Discovery</w:t>
            </w:r>
          </w:p>
        </w:tc>
        <w:tc>
          <w:tcPr>
            <w:tcW w:type="dxa" w:w="3120"/>
          </w:tcPr>
          <w:p>
            <w:r>
              <w:t>October 9, 2026</w:t>
            </w:r>
          </w:p>
        </w:tc>
        <w:tc>
          <w:tcPr>
            <w:tcW w:type="dxa" w:w="3120"/>
          </w:tcPr>
          <w:p>
            <w:r>
              <w:t>On Track</w:t>
            </w:r>
          </w:p>
        </w:tc>
      </w:tr>
      <w:tr>
        <w:tc>
          <w:tcPr>
            <w:tcW w:type="dxa" w:w="3120"/>
          </w:tcPr>
          <w:p>
            <w:r>
              <w:t>Expert Disclosures - Plaintiff</w:t>
            </w:r>
          </w:p>
        </w:tc>
        <w:tc>
          <w:tcPr>
            <w:tcW w:type="dxa" w:w="3120"/>
          </w:tcPr>
          <w:p>
            <w:r>
              <w:t>October 30, 2026</w:t>
            </w:r>
          </w:p>
        </w:tc>
        <w:tc>
          <w:tcPr>
            <w:tcW w:type="dxa" w:w="3120"/>
          </w:tcPr>
          <w:p>
            <w:r>
              <w:t>On Track</w:t>
            </w:r>
          </w:p>
        </w:tc>
      </w:tr>
      <w:tr>
        <w:tc>
          <w:tcPr>
            <w:tcW w:type="dxa" w:w="3120"/>
          </w:tcPr>
          <w:p>
            <w:r>
              <w:t>Expert Disclosures - Defendant</w:t>
            </w:r>
          </w:p>
        </w:tc>
        <w:tc>
          <w:tcPr>
            <w:tcW w:type="dxa" w:w="3120"/>
          </w:tcPr>
          <w:p>
            <w:r>
              <w:t>December 15, 2026</w:t>
            </w:r>
          </w:p>
        </w:tc>
        <w:tc>
          <w:tcPr>
            <w:tcW w:type="dxa" w:w="3120"/>
          </w:tcPr>
          <w:p>
            <w:r>
              <w:t>Pending</w:t>
            </w:r>
          </w:p>
        </w:tc>
      </w:tr>
      <w:tr>
        <w:tc>
          <w:tcPr>
            <w:tcW w:type="dxa" w:w="3120"/>
          </w:tcPr>
          <w:p>
            <w:r>
              <w:t>Close of Expert Discovery</w:t>
            </w:r>
          </w:p>
        </w:tc>
        <w:tc>
          <w:tcPr>
            <w:tcW w:type="dxa" w:w="3120"/>
          </w:tcPr>
          <w:p>
            <w:r>
              <w:t>February 1, 2027</w:t>
            </w:r>
          </w:p>
        </w:tc>
        <w:tc>
          <w:tcPr>
            <w:tcW w:type="dxa" w:w="3120"/>
          </w:tcPr>
          <w:p>
            <w:r>
              <w:t>Pending</w:t>
            </w:r>
          </w:p>
        </w:tc>
      </w:tr>
      <w:tr>
        <w:tc>
          <w:tcPr>
            <w:tcW w:type="dxa" w:w="3120"/>
          </w:tcPr>
          <w:p>
            <w:r>
              <w:t>Supplemental Brief</w:t>
            </w:r>
          </w:p>
        </w:tc>
        <w:tc>
          <w:tcPr>
            <w:tcW w:type="dxa" w:w="3120"/>
          </w:tcPr>
          <w:p>
            <w:r>
              <w:t>March 1, 2027</w:t>
            </w:r>
          </w:p>
        </w:tc>
        <w:tc>
          <w:tcPr>
            <w:tcW w:type="dxa" w:w="3120"/>
          </w:tcPr>
          <w:p>
            <w:r>
              <w:t>Drafting to Begin January 2027</w:t>
            </w:r>
          </w:p>
        </w:tc>
      </w:tr>
      <w:tr>
        <w:tc>
          <w:tcPr>
            <w:tcW w:type="dxa" w:w="3120"/>
          </w:tcPr>
          <w:p>
            <w:r>
              <w:t>Pre-Trial Conference</w:t>
            </w:r>
          </w:p>
        </w:tc>
        <w:tc>
          <w:tcPr>
            <w:tcW w:type="dxa" w:w="3120"/>
          </w:tcPr>
          <w:p>
            <w:r>
              <w:t>TBD</w:t>
            </w:r>
          </w:p>
        </w:tc>
        <w:tc>
          <w:tcPr>
            <w:tcW w:type="dxa" w:w="3120"/>
          </w:tcPr>
          <w:p>
            <w:r>
              <w:t>To be set after briefing</w:t>
            </w:r>
          </w:p>
        </w:tc>
      </w:tr>
    </w:tbl>
    <w:p/>
    <w:p/>
    <w:p>
      <w:r>
        <w:rPr>
          <w:b/>
          <w:sz w:val="24"/>
        </w:rPr>
        <w:t>III. Key Legal Theory</w:t>
      </w:r>
    </w:p>
    <w:p>
      <w:r>
        <w:rPr>
          <w:sz w:val="22"/>
        </w:rPr>
        <w:t>The primary claim rests on disparate-impact analysis under Texas Department of Housing and Community Affairs v. Inclusive Communities Project, Inc., 576 U.S. 519 (2015). Statistical evidence compiled from county eviction records demonstrates that minority tenants face eviction proceedings at a rate 2.8 times higher than white tenants controlling for payment history and lease term. Secondary claims include pattern-and-practice intentional discrimination under Arlington Heights standards.</w:t>
      </w:r>
    </w:p>
    <w:p/>
    <w:p>
      <w:r>
        <w:rPr>
          <w:sz w:val="22"/>
        </w:rPr>
        <w:t>The Franklin County Rural Justice Coalition, represented by Director Howard Miller, is the primary community partner and has provided tenant data, community testimony, and organizational support throughout the litigation.</w:t>
      </w:r>
    </w:p>
    <w:p/>
    <w:p>
      <w:r>
        <w:rPr>
          <w:b/>
          <w:sz w:val="24"/>
        </w:rPr>
        <w:t>IV. Upcoming Action Items</w:t>
      </w:r>
    </w:p>
    <w:p>
      <w:r>
        <w:rPr>
          <w:sz w:val="22"/>
        </w:rPr>
        <w:t>1. Oral arguments scheduled October 8, 2026 on defendants' motion to limit class definition to current tenants only. The court has set a 30-minute argument limit.</w:t>
      </w:r>
    </w:p>
    <w:p>
      <w:r>
        <w:rPr>
          <w:sz w:val="22"/>
        </w:rPr>
        <w:t>2. Expert witness engagement: need to retain a housing economist for statistical modeling by December 2026.</w:t>
      </w:r>
    </w:p>
    <w:p>
      <w:r>
        <w:rPr>
          <w:sz w:val="22"/>
        </w:rPr>
        <w:t>3. Deposition schedule to be served on defendants by February 1, 2026.</w:t>
      </w:r>
    </w:p>
    <w:p>
      <w:r>
        <w:rPr>
          <w:sz w:val="22"/>
        </w:rPr>
        <w:t>4. Coalition board update presentation required by February 27, 2026.</w:t>
      </w:r>
    </w:p>
    <w:p/>
    <w:p>
      <w:r>
        <w:rPr>
          <w:sz w:val="22"/>
        </w:rPr>
        <w:t>This memo is attorney work product and subject to full attorney-client privilege. Not for distribution outside authorized Keystone Legal Aid personnel.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