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PCI in Heavily Calcified Lesions, Case-Series Research Plan</w:t>
      </w:r>
    </w:p>
    <w:p>
      <w:r>
        <w:t>Mentored fellow project.</w:t>
      </w:r>
    </w:p>
    <w:p>
      <w:pPr>
        <w:pStyle w:val="Heading1"/>
      </w:pPr>
      <w:r>
        <w:t>Objective</w:t>
      </w:r>
    </w:p>
    <w:p>
      <w:r>
        <w:t>Characterize the procedural approach and outcomes for percutaneous coronary intervention of heavily calcified coronary lesions, with attention to calcium-modification strategy selection and acute success.</w:t>
      </w:r>
    </w:p>
    <w:p>
      <w:pPr>
        <w:pStyle w:val="Heading1"/>
      </w:pPr>
      <w:r>
        <w:t>Design</w:t>
      </w:r>
    </w:p>
    <w:p>
      <w:r>
        <w:t>Retrospective, de-identified case series. No identifiable patient data leaves the practice. All abstraction occurs within the institutional environment under appropriate approvals.</w:t>
      </w:r>
    </w:p>
    <w:p>
      <w:pPr>
        <w:pStyle w:val="Heading1"/>
      </w:pPr>
      <w:r>
        <w:t>Variables to capture, de-identified</w:t>
      </w:r>
    </w:p>
    <w:p>
      <w:pPr>
        <w:pStyle w:val="ListBullet"/>
      </w:pPr>
      <w:r>
        <w:t>Lesion calcification grade, imaging-based</w:t>
      </w:r>
    </w:p>
    <w:p>
      <w:pPr>
        <w:pStyle w:val="ListBullet"/>
      </w:pPr>
      <w:r>
        <w:t>Calcium-modification modality used</w:t>
      </w:r>
    </w:p>
    <w:p>
      <w:pPr>
        <w:pStyle w:val="ListBullet"/>
      </w:pPr>
      <w:r>
        <w:t>Procedural success and stent expansion</w:t>
      </w:r>
    </w:p>
    <w:p>
      <w:pPr>
        <w:pStyle w:val="ListBullet"/>
      </w:pPr>
      <w:r>
        <w:t>Periprocedural complications</w:t>
      </w:r>
    </w:p>
    <w:p>
      <w:pPr>
        <w:pStyle w:val="ListBullet"/>
      </w:pPr>
      <w:r>
        <w:t>Discharge status, aggregate only</w:t>
      </w:r>
    </w:p>
    <w:p>
      <w:pPr>
        <w:pStyle w:val="Heading1"/>
      </w:pPr>
      <w:r>
        <w:t>Mentee milestones</w:t>
      </w:r>
    </w:p>
    <w:p>
      <w:pPr>
        <w:pStyle w:val="ListBullet"/>
      </w:pPr>
      <w:r>
        <w:t>Draft protocol and variable dictionary</w:t>
      </w:r>
    </w:p>
    <w:p>
      <w:pPr>
        <w:pStyle w:val="ListBullet"/>
      </w:pPr>
      <w:r>
        <w:t>Approvals and data-abstraction template</w:t>
      </w:r>
    </w:p>
    <w:p>
      <w:pPr>
        <w:pStyle w:val="ListBullet"/>
      </w:pPr>
      <w:r>
        <w:t>Aggregate analysis and figures</w:t>
      </w:r>
    </w:p>
    <w:p>
      <w:pPr>
        <w:pStyle w:val="ListBullet"/>
      </w:pPr>
      <w:r>
        <w:t>Abstract for regional meeting</w:t>
      </w:r>
    </w:p>
    <w:p>
      <w:pPr>
        <w:pStyle w:val="ListBullet"/>
      </w:pPr>
      <w:r>
        <w:t>Manuscript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2026-02-20T09:00:00Z</dcterms:created>
  <dcterms:modified xsi:type="dcterms:W3CDTF">2026-02-20T09:00:00Z</dcterms:modified>
  <cp:category/>
</cp:coreProperties>
</file>