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C3557"/>
        </w:rPr>
        <w:t>KIM TRADE SERVICES</w:t>
      </w:r>
    </w:p>
    <w:p>
      <w:pPr>
        <w:pStyle w:val="Heading1"/>
      </w:pPr>
      <w:r>
        <w:rPr>
          <w:rFonts w:ascii="Times New Roman" w:hAnsi="Times New Roman"/>
          <w:color w:val="1C3557"/>
        </w:rPr>
        <w:t>EMPLOYEE 90-DAY PERFORMANCE REVIEW</w:t>
      </w:r>
    </w:p>
    <w:p>
      <w:pPr>
        <w:spacing w:after="120"/>
      </w:pPr>
      <w:r>
        <w:rPr>
          <w:rFonts w:ascii="Times New Roman" w:hAnsi="Times New Roman"/>
          <w:color w:val="1A1A1A"/>
          <w:sz w:val="22"/>
        </w:rPr>
        <w:t>Employee: Brandon Kim | Role: Junior Associate | Review Period: January 6 to April 7, 2025</w:t>
      </w:r>
    </w:p>
    <w:p>
      <w:pPr>
        <w:spacing w:after="120"/>
      </w:pPr>
      <w:r>
        <w:rPr>
          <w:rFonts w:ascii="Times New Roman" w:hAnsi="Times New Roman"/>
          <w:color w:val="1A1A1A"/>
          <w:sz w:val="22"/>
        </w:rPr>
        <w:t>Reviewed by: Jason Robert Kim, Managing Principal | Review Date: April 10, 2025</w:t>
      </w:r>
    </w:p>
    <w:p/>
    <w:p>
      <w:pPr>
        <w:pStyle w:val="Heading1"/>
      </w:pPr>
      <w:r>
        <w:rPr>
          <w:rFonts w:ascii="Times New Roman" w:hAnsi="Times New Roman"/>
          <w:color w:val="1C3557"/>
        </w:rPr>
        <w:t>1. PURPOSE</w:t>
      </w:r>
    </w:p>
    <w:p>
      <w:pPr>
        <w:spacing w:after="120"/>
      </w:pPr>
      <w:r>
        <w:rPr>
          <w:rFonts w:ascii="Times New Roman" w:hAnsi="Times New Roman"/>
          <w:color w:val="1A1A1A"/>
          <w:sz w:val="22"/>
        </w:rPr>
        <w:t>This review documents Brandon Kim's performance during his initial 90-day onboarding period at Kim Trade Services. It is intended to provide honest feedback, acknowledge what is working, identify areas for development, and set clear expectations for the next quarter. This is not a formal performance evaluation. It is a working document meant to help Brandon find his footing faster.</w:t>
      </w:r>
    </w:p>
    <w:p>
      <w:pPr>
        <w:spacing w:after="120"/>
      </w:pPr>
      <w:r>
        <w:rPr>
          <w:rFonts w:ascii="Times New Roman" w:hAnsi="Times New Roman"/>
          <w:color w:val="1A1A1A"/>
          <w:sz w:val="22"/>
        </w:rPr>
        <w:t>Brandon's onboarding guide is in d1.docx. This review is structured against its milestones.</w:t>
      </w:r>
    </w:p>
    <w:p/>
    <w:p>
      <w:pPr>
        <w:pStyle w:val="Heading1"/>
      </w:pPr>
      <w:r>
        <w:rPr>
          <w:rFonts w:ascii="Times New Roman" w:hAnsi="Times New Roman"/>
          <w:color w:val="1C3557"/>
        </w:rPr>
        <w:t>2. WEEK-BY-WEEK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C3557"/>
          </w:tcPr>
          <w:p>
            <w:r>
              <w:rPr>
                <w:rFonts w:ascii="Times New Roman" w:hAnsi="Times New Roman"/>
                <w:b/>
                <w:color w:val="FFFFFF"/>
                <w:sz w:val="20"/>
              </w:rPr>
              <w:t>Milestone</w:t>
            </w:r>
          </w:p>
        </w:tc>
        <w:tc>
          <w:tcPr>
            <w:tcW w:type="dxa" w:w="1152"/>
            <w:shd w:val="clear" w:color="auto" w:fill="1C3557"/>
          </w:tcPr>
          <w:p>
            <w:r>
              <w:rPr>
                <w:rFonts w:ascii="Times New Roman" w:hAnsi="Times New Roman"/>
                <w:b/>
                <w:color w:val="FFFFFF"/>
                <w:sz w:val="20"/>
              </w:rPr>
              <w:t>Target</w:t>
            </w:r>
          </w:p>
        </w:tc>
        <w:tc>
          <w:tcPr>
            <w:tcW w:type="dxa" w:w="1584"/>
            <w:shd w:val="clear" w:color="auto" w:fill="1C3557"/>
          </w:tcPr>
          <w:p>
            <w:r>
              <w:rPr>
                <w:rFonts w:ascii="Times New Roman" w:hAnsi="Times New Roman"/>
                <w:b/>
                <w:color w:val="FFFFFF"/>
                <w:sz w:val="20"/>
              </w:rPr>
              <w:t>Status</w:t>
            </w:r>
          </w:p>
        </w:tc>
        <w:tc>
          <w:tcPr>
            <w:tcW w:type="dxa" w:w="4032"/>
            <w:shd w:val="clear" w:color="auto" w:fill="1C3557"/>
          </w:tcPr>
          <w:p>
            <w:r>
              <w:rPr>
                <w:rFonts w:ascii="Times New Roman" w:hAnsi="Times New Roman"/>
                <w:b/>
                <w:color w:val="FFFFFF"/>
                <w:sz w:val="20"/>
              </w:rPr>
              <w:t>Notes</w:t>
            </w:r>
          </w:p>
        </w:tc>
      </w:tr>
      <w:tr>
        <w:tc>
          <w:tcPr>
            <w:tcW w:type="dxa" w:w="2880"/>
            <w:shd w:val="clear" w:color="auto" w:fill="F5F5F3"/>
          </w:tcPr>
          <w:p>
            <w:r>
              <w:rPr>
                <w:rFonts w:ascii="Times New Roman" w:hAnsi="Times New Roman"/>
                <w:sz w:val="20"/>
              </w:rPr>
              <w:t>Systems access and orientation</w:t>
            </w:r>
          </w:p>
        </w:tc>
        <w:tc>
          <w:tcPr>
            <w:tcW w:type="dxa" w:w="1152"/>
            <w:shd w:val="clear" w:color="auto" w:fill="F5F5F3"/>
          </w:tcPr>
          <w:p>
            <w:r>
              <w:rPr>
                <w:rFonts w:ascii="Times New Roman" w:hAnsi="Times New Roman"/>
                <w:sz w:val="20"/>
              </w:rPr>
              <w:t>Week 1</w:t>
            </w:r>
          </w:p>
        </w:tc>
        <w:tc>
          <w:tcPr>
            <w:tcW w:type="dxa" w:w="1584"/>
            <w:shd w:val="clear" w:color="auto" w:fill="F5F5F3"/>
          </w:tcPr>
          <w:p>
            <w:r>
              <w:rPr>
                <w:rFonts w:ascii="Times New Roman" w:hAnsi="Times New Roman"/>
                <w:sz w:val="20"/>
              </w:rPr>
              <w:t>Complete</w:t>
            </w:r>
          </w:p>
        </w:tc>
        <w:tc>
          <w:tcPr>
            <w:tcW w:type="dxa" w:w="4032"/>
            <w:shd w:val="clear" w:color="auto" w:fill="F5F5F3"/>
          </w:tcPr>
          <w:p>
            <w:r>
              <w:rPr>
                <w:rFonts w:ascii="Times New Roman" w:hAnsi="Times New Roman"/>
                <w:sz w:val="20"/>
              </w:rPr>
              <w:t>All logins active by Day 3; read through x4.xlsx client roster without being asked</w:t>
            </w:r>
          </w:p>
        </w:tc>
      </w:tr>
      <w:tr>
        <w:tc>
          <w:tcPr>
            <w:tcW w:type="dxa" w:w="2880"/>
            <w:shd w:val="clear" w:color="auto" w:fill="FFFFFF"/>
          </w:tcPr>
          <w:p>
            <w:r>
              <w:rPr>
                <w:rFonts w:ascii="Times New Roman" w:hAnsi="Times New Roman"/>
                <w:sz w:val="20"/>
              </w:rPr>
              <w:t>TradeFlow Pro navigation</w:t>
            </w:r>
          </w:p>
        </w:tc>
        <w:tc>
          <w:tcPr>
            <w:tcW w:type="dxa" w:w="1152"/>
            <w:shd w:val="clear" w:color="auto" w:fill="FFFFFF"/>
          </w:tcPr>
          <w:p>
            <w:r>
              <w:rPr>
                <w:rFonts w:ascii="Times New Roman" w:hAnsi="Times New Roman"/>
                <w:sz w:val="20"/>
              </w:rPr>
              <w:t>Week 2</w:t>
            </w:r>
          </w:p>
        </w:tc>
        <w:tc>
          <w:tcPr>
            <w:tcW w:type="dxa" w:w="1584"/>
            <w:shd w:val="clear" w:color="auto" w:fill="FFFFFF"/>
          </w:tcPr>
          <w:p>
            <w:r>
              <w:rPr>
                <w:rFonts w:ascii="Times New Roman" w:hAnsi="Times New Roman"/>
                <w:sz w:val="20"/>
              </w:rPr>
              <w:t>Complete</w:t>
            </w:r>
          </w:p>
        </w:tc>
        <w:tc>
          <w:tcPr>
            <w:tcW w:type="dxa" w:w="4032"/>
            <w:shd w:val="clear" w:color="auto" w:fill="FFFFFF"/>
          </w:tcPr>
          <w:p>
            <w:r>
              <w:rPr>
                <w:rFonts w:ascii="Times New Roman" w:hAnsi="Times New Roman"/>
                <w:sz w:val="20"/>
              </w:rPr>
              <w:t>Comfortable with filing lookup and document retrieval by Day 9</w:t>
            </w:r>
          </w:p>
        </w:tc>
      </w:tr>
      <w:tr>
        <w:tc>
          <w:tcPr>
            <w:tcW w:type="dxa" w:w="2880"/>
            <w:shd w:val="clear" w:color="auto" w:fill="F5F5F3"/>
          </w:tcPr>
          <w:p>
            <w:r>
              <w:rPr>
                <w:rFonts w:ascii="Times New Roman" w:hAnsi="Times New Roman"/>
                <w:sz w:val="20"/>
              </w:rPr>
              <w:t>HTS classification fundamentals</w:t>
            </w:r>
          </w:p>
        </w:tc>
        <w:tc>
          <w:tcPr>
            <w:tcW w:type="dxa" w:w="1152"/>
            <w:shd w:val="clear" w:color="auto" w:fill="F5F5F3"/>
          </w:tcPr>
          <w:p>
            <w:r>
              <w:rPr>
                <w:rFonts w:ascii="Times New Roman" w:hAnsi="Times New Roman"/>
                <w:sz w:val="20"/>
              </w:rPr>
              <w:t>Week 3</w:t>
            </w:r>
          </w:p>
        </w:tc>
        <w:tc>
          <w:tcPr>
            <w:tcW w:type="dxa" w:w="1584"/>
            <w:shd w:val="clear" w:color="auto" w:fill="F5F5F3"/>
          </w:tcPr>
          <w:p>
            <w:r>
              <w:rPr>
                <w:rFonts w:ascii="Times New Roman" w:hAnsi="Times New Roman"/>
                <w:sz w:val="20"/>
              </w:rPr>
              <w:t>Mostly complete</w:t>
            </w:r>
          </w:p>
        </w:tc>
        <w:tc>
          <w:tcPr>
            <w:tcW w:type="dxa" w:w="4032"/>
            <w:shd w:val="clear" w:color="auto" w:fill="F5F5F3"/>
          </w:tcPr>
          <w:p>
            <w:r>
              <w:rPr>
                <w:rFonts w:ascii="Times New Roman" w:hAnsi="Times New Roman"/>
                <w:sz w:val="20"/>
              </w:rPr>
              <w:t>Classified three products correctly under supervision; fourth product needed a full reclassification</w:t>
            </w:r>
          </w:p>
        </w:tc>
      </w:tr>
      <w:tr>
        <w:tc>
          <w:tcPr>
            <w:tcW w:type="dxa" w:w="2880"/>
            <w:shd w:val="clear" w:color="auto" w:fill="FFFFFF"/>
          </w:tcPr>
          <w:p>
            <w:r>
              <w:rPr>
                <w:rFonts w:ascii="Times New Roman" w:hAnsi="Times New Roman"/>
                <w:sz w:val="20"/>
              </w:rPr>
              <w:t>USMCA certificate draft</w:t>
            </w:r>
          </w:p>
        </w:tc>
        <w:tc>
          <w:tcPr>
            <w:tcW w:type="dxa" w:w="1152"/>
            <w:shd w:val="clear" w:color="auto" w:fill="FFFFFF"/>
          </w:tcPr>
          <w:p>
            <w:r>
              <w:rPr>
                <w:rFonts w:ascii="Times New Roman" w:hAnsi="Times New Roman"/>
                <w:sz w:val="20"/>
              </w:rPr>
              <w:t>Week 4</w:t>
            </w:r>
          </w:p>
        </w:tc>
        <w:tc>
          <w:tcPr>
            <w:tcW w:type="dxa" w:w="1584"/>
            <w:shd w:val="clear" w:color="auto" w:fill="FFFFFF"/>
          </w:tcPr>
          <w:p>
            <w:r>
              <w:rPr>
                <w:rFonts w:ascii="Times New Roman" w:hAnsi="Times New Roman"/>
                <w:sz w:val="20"/>
              </w:rPr>
              <w:t>Complete with revisions</w:t>
            </w:r>
          </w:p>
        </w:tc>
        <w:tc>
          <w:tcPr>
            <w:tcW w:type="dxa" w:w="4032"/>
            <w:shd w:val="clear" w:color="auto" w:fill="FFFFFF"/>
          </w:tcPr>
          <w:p>
            <w:r>
              <w:rPr>
                <w:rFonts w:ascii="Times New Roman" w:hAnsi="Times New Roman"/>
                <w:sz w:val="20"/>
              </w:rPr>
              <w:t>Draft had two errors in the origin criterion section; corrected after review; solid on the second attempt</w:t>
            </w:r>
          </w:p>
        </w:tc>
      </w:tr>
    </w:tbl>
    <w:p/>
    <w:p>
      <w:pPr>
        <w:pStyle w:val="Heading1"/>
      </w:pPr>
      <w:r>
        <w:rPr>
          <w:rFonts w:ascii="Times New Roman" w:hAnsi="Times New Roman"/>
          <w:color w:val="1C3557"/>
        </w:rPr>
        <w:t>3. PERFORMANCE OBSERVATIONS</w:t>
      </w:r>
    </w:p>
    <w:p>
      <w:pPr>
        <w:pStyle w:val="Heading2"/>
      </w:pPr>
      <w:r>
        <w:rPr>
          <w:rFonts w:ascii="Times New Roman" w:hAnsi="Times New Roman"/>
          <w:color w:val="1C3557"/>
        </w:rPr>
        <w:t>Strengths</w:t>
      </w:r>
    </w:p>
    <w:p>
      <w:pPr>
        <w:pStyle w:val="ListBullet"/>
      </w:pPr>
      <w:r>
        <w:rPr>
          <w:rFonts w:ascii="Times New Roman" w:hAnsi="Times New Roman"/>
          <w:sz w:val="22"/>
        </w:rPr>
        <w:t>Asks good questions. Not afraid to say he does not know something, which is exactly the right instinct in this business.</w:t>
      </w:r>
    </w:p>
    <w:p>
      <w:pPr>
        <w:pStyle w:val="ListBullet"/>
      </w:pPr>
      <w:r>
        <w:rPr>
          <w:rFonts w:ascii="Times New Roman" w:hAnsi="Times New Roman"/>
          <w:sz w:val="22"/>
        </w:rPr>
        <w:t>Strong attention to numerical detail. His arithmetic checks on the drawback calculation worksheets have been accurate and he catches errors others miss.</w:t>
      </w:r>
    </w:p>
    <w:p>
      <w:pPr>
        <w:pStyle w:val="ListBullet"/>
      </w:pPr>
      <w:r>
        <w:rPr>
          <w:rFonts w:ascii="Times New Roman" w:hAnsi="Times New Roman"/>
          <w:sz w:val="22"/>
        </w:rPr>
        <w:t>Takes direction well and completes assigned tasks without needing follow-up reminders.</w:t>
      </w:r>
    </w:p>
    <w:p>
      <w:pPr>
        <w:pStyle w:val="ListBullet"/>
      </w:pPr>
      <w:r>
        <w:rPr>
          <w:rFonts w:ascii="Times New Roman" w:hAnsi="Times New Roman"/>
          <w:sz w:val="22"/>
        </w:rPr>
        <w:t>Read more of the CBP regulations in the first 30 days than most new associates do in 90 days. He is building the foundation, not just the surface.</w:t>
      </w:r>
    </w:p>
    <w:p>
      <w:pPr>
        <w:pStyle w:val="ListBullet"/>
      </w:pPr>
      <w:r>
        <w:rPr>
          <w:rFonts w:ascii="Times New Roman" w:hAnsi="Times New Roman"/>
          <w:sz w:val="22"/>
        </w:rPr>
        <w:t>Professional with clients by email and phone. Courteous, measured, no overclaiming.</w:t>
      </w:r>
    </w:p>
    <w:p>
      <w:pPr>
        <w:pStyle w:val="Heading2"/>
      </w:pPr>
      <w:r>
        <w:rPr>
          <w:rFonts w:ascii="Times New Roman" w:hAnsi="Times New Roman"/>
          <w:color w:val="1C3557"/>
        </w:rPr>
        <w:t>Development Areas</w:t>
      </w:r>
    </w:p>
    <w:p>
      <w:pPr>
        <w:pStyle w:val="ListBullet"/>
      </w:pPr>
      <w:r>
        <w:rPr>
          <w:rFonts w:ascii="Times New Roman" w:hAnsi="Times New Roman"/>
          <w:sz w:val="22"/>
        </w:rPr>
        <w:t>Classification confidence. He knows the rules but second-guesses himself too often. The goal for Q2 is to make two decisions independently per week and bring them to a specialist only for validation, not for the initial answer.</w:t>
      </w:r>
    </w:p>
    <w:p>
      <w:pPr>
        <w:pStyle w:val="ListBullet"/>
      </w:pPr>
      <w:r>
        <w:rPr>
          <w:rFonts w:ascii="Times New Roman" w:hAnsi="Times New Roman"/>
          <w:sz w:val="22"/>
        </w:rPr>
        <w:t>Pace. Trade work runs on deadlines and Brandon is still learning to calibrate how long each task takes. He needs to flag early when something is taking longer than expected rather than pushing through quietly.</w:t>
      </w:r>
    </w:p>
    <w:p>
      <w:pPr>
        <w:pStyle w:val="ListBullet"/>
      </w:pPr>
      <w:r>
        <w:rPr>
          <w:rFonts w:ascii="Times New Roman" w:hAnsi="Times New Roman"/>
          <w:sz w:val="22"/>
        </w:rPr>
        <w:t>Understanding the business context of filings. Brandon understands the technical task. He needs to develop the habit of asking why the client is doing this transaction, which changes what you look for in the paperwork.</w:t>
      </w:r>
    </w:p>
    <w:p/>
    <w:p>
      <w:pPr>
        <w:pStyle w:val="Heading1"/>
      </w:pPr>
      <w:r>
        <w:rPr>
          <w:rFonts w:ascii="Times New Roman" w:hAnsi="Times New Roman"/>
          <w:color w:val="1C3557"/>
        </w:rPr>
        <w:t>4. RELATIONSHIP DYNAMICS</w:t>
      </w:r>
    </w:p>
    <w:p>
      <w:pPr>
        <w:spacing w:after="120"/>
      </w:pPr>
      <w:r>
        <w:rPr>
          <w:rFonts w:ascii="Times New Roman" w:hAnsi="Times New Roman"/>
          <w:color w:val="1A1A1A"/>
          <w:sz w:val="22"/>
        </w:rPr>
        <w:t>Brandon and I have navigated the father-son dynamic professionally. He does not ask for special treatment, and I have been careful not to give it. Pat Delgado has been an important neutral third party on operational questions, which is working well. Brandon reports to Pat on daily scheduling and to me on compliance and client matters. This structure is holding.</w:t>
      </w:r>
    </w:p>
    <w:p>
      <w:pPr>
        <w:spacing w:after="120"/>
      </w:pPr>
      <w:r>
        <w:rPr>
          <w:rFonts w:ascii="Times New Roman" w:hAnsi="Times New Roman"/>
          <w:color w:val="1A1A1A"/>
          <w:sz w:val="22"/>
        </w:rPr>
        <w:t>Annette Ruiz has been generous with her time as an informal mentor on USMCA procedures. Brandon should continue to use that resource. The Columbus Trade Mentorship Program sessions have also been useful to him.</w:t>
      </w:r>
    </w:p>
    <w:p/>
    <w:p>
      <w:pPr>
        <w:pStyle w:val="Heading1"/>
      </w:pPr>
      <w:r>
        <w:rPr>
          <w:rFonts w:ascii="Times New Roman" w:hAnsi="Times New Roman"/>
          <w:color w:val="1C3557"/>
        </w:rPr>
        <w:t>5. GOALS FOR NEXT 90 DAYS (April to June 2025)</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C3557"/>
          </w:tcPr>
          <w:p>
            <w:r>
              <w:rPr>
                <w:rFonts w:ascii="Times New Roman" w:hAnsi="Times New Roman"/>
                <w:b/>
                <w:color w:val="FFFFFF"/>
                <w:sz w:val="20"/>
              </w:rPr>
              <w:t>Goal</w:t>
            </w:r>
          </w:p>
        </w:tc>
        <w:tc>
          <w:tcPr>
            <w:tcW w:type="dxa" w:w="2304"/>
            <w:shd w:val="clear" w:color="auto" w:fill="1C3557"/>
          </w:tcPr>
          <w:p>
            <w:r>
              <w:rPr>
                <w:rFonts w:ascii="Times New Roman" w:hAnsi="Times New Roman"/>
                <w:b/>
                <w:color w:val="FFFFFF"/>
                <w:sz w:val="20"/>
              </w:rPr>
              <w:t>Metric</w:t>
            </w:r>
          </w:p>
        </w:tc>
        <w:tc>
          <w:tcPr>
            <w:tcW w:type="dxa" w:w="4176"/>
            <w:shd w:val="clear" w:color="auto" w:fill="1C3557"/>
          </w:tcPr>
          <w:p>
            <w:r>
              <w:rPr>
                <w:rFonts w:ascii="Times New Roman" w:hAnsi="Times New Roman"/>
                <w:b/>
                <w:color w:val="FFFFFF"/>
                <w:sz w:val="20"/>
              </w:rPr>
              <w:t>Support</w:t>
            </w:r>
          </w:p>
        </w:tc>
      </w:tr>
      <w:tr>
        <w:tc>
          <w:tcPr>
            <w:tcW w:type="dxa" w:w="3168"/>
            <w:shd w:val="clear" w:color="auto" w:fill="F5F5F3"/>
          </w:tcPr>
          <w:p>
            <w:r>
              <w:rPr>
                <w:rFonts w:ascii="Times New Roman" w:hAnsi="Times New Roman"/>
                <w:sz w:val="20"/>
              </w:rPr>
              <w:t>Independently classify 10 new products per month</w:t>
            </w:r>
          </w:p>
        </w:tc>
        <w:tc>
          <w:tcPr>
            <w:tcW w:type="dxa" w:w="2304"/>
            <w:shd w:val="clear" w:color="auto" w:fill="F5F5F3"/>
          </w:tcPr>
          <w:p>
            <w:r>
              <w:rPr>
                <w:rFonts w:ascii="Times New Roman" w:hAnsi="Times New Roman"/>
                <w:sz w:val="20"/>
              </w:rPr>
              <w:t>Three without supervisor correction</w:t>
            </w:r>
          </w:p>
        </w:tc>
        <w:tc>
          <w:tcPr>
            <w:tcW w:type="dxa" w:w="4176"/>
            <w:shd w:val="clear" w:color="auto" w:fill="F5F5F3"/>
          </w:tcPr>
          <w:p>
            <w:r>
              <w:rPr>
                <w:rFonts w:ascii="Times New Roman" w:hAnsi="Times New Roman"/>
                <w:sz w:val="20"/>
              </w:rPr>
              <w:t>Weekly review with Annette Ruiz</w:t>
            </w:r>
          </w:p>
        </w:tc>
      </w:tr>
      <w:tr>
        <w:tc>
          <w:tcPr>
            <w:tcW w:type="dxa" w:w="3168"/>
            <w:shd w:val="clear" w:color="auto" w:fill="FFFFFF"/>
          </w:tcPr>
          <w:p>
            <w:r>
              <w:rPr>
                <w:rFonts w:ascii="Times New Roman" w:hAnsi="Times New Roman"/>
                <w:sz w:val="20"/>
              </w:rPr>
              <w:t>Prepare two USMCA Certificates of Origin with minimal revisions</w:t>
            </w:r>
          </w:p>
        </w:tc>
        <w:tc>
          <w:tcPr>
            <w:tcW w:type="dxa" w:w="2304"/>
            <w:shd w:val="clear" w:color="auto" w:fill="FFFFFF"/>
          </w:tcPr>
          <w:p>
            <w:r>
              <w:rPr>
                <w:rFonts w:ascii="Times New Roman" w:hAnsi="Times New Roman"/>
                <w:sz w:val="20"/>
              </w:rPr>
              <w:t>Zero origin-criterion errors on both</w:t>
            </w:r>
          </w:p>
        </w:tc>
        <w:tc>
          <w:tcPr>
            <w:tcW w:type="dxa" w:w="4176"/>
            <w:shd w:val="clear" w:color="auto" w:fill="FFFFFF"/>
          </w:tcPr>
          <w:p>
            <w:r>
              <w:rPr>
                <w:rFonts w:ascii="Times New Roman" w:hAnsi="Times New Roman"/>
                <w:sz w:val="20"/>
              </w:rPr>
              <w:t>Pre-check against p3.pdf template</w:t>
            </w:r>
          </w:p>
        </w:tc>
      </w:tr>
      <w:tr>
        <w:tc>
          <w:tcPr>
            <w:tcW w:type="dxa" w:w="3168"/>
            <w:shd w:val="clear" w:color="auto" w:fill="F5F5F3"/>
          </w:tcPr>
          <w:p>
            <w:r>
              <w:rPr>
                <w:rFonts w:ascii="Times New Roman" w:hAnsi="Times New Roman"/>
                <w:sz w:val="20"/>
              </w:rPr>
              <w:t>Attend and participate in Columbus Trade Mentorship Program Session 4</w:t>
            </w:r>
          </w:p>
        </w:tc>
        <w:tc>
          <w:tcPr>
            <w:tcW w:type="dxa" w:w="2304"/>
            <w:shd w:val="clear" w:color="auto" w:fill="F5F5F3"/>
          </w:tcPr>
          <w:p>
            <w:r>
              <w:rPr>
                <w:rFonts w:ascii="Times New Roman" w:hAnsi="Times New Roman"/>
                <w:sz w:val="20"/>
              </w:rPr>
              <w:t>Attend session; submit reflection note</w:t>
            </w:r>
          </w:p>
        </w:tc>
        <w:tc>
          <w:tcPr>
            <w:tcW w:type="dxa" w:w="4176"/>
            <w:shd w:val="clear" w:color="auto" w:fill="F5F5F3"/>
          </w:tcPr>
          <w:p>
            <w:r>
              <w:rPr>
                <w:rFonts w:ascii="Times New Roman" w:hAnsi="Times New Roman"/>
                <w:sz w:val="20"/>
              </w:rPr>
              <w:t>Jason to introduce Brandon to mentors</w:t>
            </w:r>
          </w:p>
        </w:tc>
      </w:tr>
      <w:tr>
        <w:tc>
          <w:tcPr>
            <w:tcW w:type="dxa" w:w="3168"/>
            <w:shd w:val="clear" w:color="auto" w:fill="FFFFFF"/>
          </w:tcPr>
          <w:p>
            <w:r>
              <w:rPr>
                <w:rFonts w:ascii="Times New Roman" w:hAnsi="Times New Roman"/>
                <w:sz w:val="20"/>
              </w:rPr>
              <w:t>Learn ISF 10+2 filing from start to submission</w:t>
            </w:r>
          </w:p>
        </w:tc>
        <w:tc>
          <w:tcPr>
            <w:tcW w:type="dxa" w:w="2304"/>
            <w:shd w:val="clear" w:color="auto" w:fill="FFFFFF"/>
          </w:tcPr>
          <w:p>
            <w:r>
              <w:rPr>
                <w:rFonts w:ascii="Times New Roman" w:hAnsi="Times New Roman"/>
                <w:sz w:val="20"/>
              </w:rPr>
              <w:t>Complete 3 ISF filings under supervision</w:t>
            </w:r>
          </w:p>
        </w:tc>
        <w:tc>
          <w:tcPr>
            <w:tcW w:type="dxa" w:w="4176"/>
            <w:shd w:val="clear" w:color="auto" w:fill="FFFFFF"/>
          </w:tcPr>
          <w:p>
            <w:r>
              <w:rPr>
                <w:rFonts w:ascii="Times New Roman" w:hAnsi="Times New Roman"/>
                <w:sz w:val="20"/>
              </w:rPr>
              <w:t>Marcus Ford to train</w:t>
            </w:r>
          </w:p>
        </w:tc>
      </w:tr>
      <w:tr>
        <w:tc>
          <w:tcPr>
            <w:tcW w:type="dxa" w:w="3168"/>
            <w:shd w:val="clear" w:color="auto" w:fill="F5F5F3"/>
          </w:tcPr>
          <w:p>
            <w:r>
              <w:rPr>
                <w:rFonts w:ascii="Times New Roman" w:hAnsi="Times New Roman"/>
                <w:sz w:val="20"/>
              </w:rPr>
              <w:t>Reduce email response time on client-adjacent requests</w:t>
            </w:r>
          </w:p>
        </w:tc>
        <w:tc>
          <w:tcPr>
            <w:tcW w:type="dxa" w:w="2304"/>
            <w:shd w:val="clear" w:color="auto" w:fill="F5F5F3"/>
          </w:tcPr>
          <w:p>
            <w:r>
              <w:rPr>
                <w:rFonts w:ascii="Times New Roman" w:hAnsi="Times New Roman"/>
                <w:sz w:val="20"/>
              </w:rPr>
              <w:t>Same-day responses by end of quarter</w:t>
            </w:r>
          </w:p>
        </w:tc>
        <w:tc>
          <w:tcPr>
            <w:tcW w:type="dxa" w:w="4176"/>
            <w:shd w:val="clear" w:color="auto" w:fill="F5F5F3"/>
          </w:tcPr>
          <w:p>
            <w:r>
              <w:rPr>
                <w:rFonts w:ascii="Times New Roman" w:hAnsi="Times New Roman"/>
                <w:sz w:val="20"/>
              </w:rPr>
              <w:t>Flag to Pat if task conflicts arise</w:t>
            </w:r>
          </w:p>
        </w:tc>
      </w:tr>
    </w:tbl>
    <w:p/>
    <w:p>
      <w:pPr>
        <w:pStyle w:val="Heading1"/>
      </w:pPr>
      <w:r>
        <w:rPr>
          <w:rFonts w:ascii="Times New Roman" w:hAnsi="Times New Roman"/>
          <w:color w:val="1C3557"/>
        </w:rPr>
        <w:t>6. COMPENSATION REVIEW</w:t>
      </w:r>
    </w:p>
    <w:p>
      <w:pPr>
        <w:spacing w:after="120"/>
      </w:pPr>
      <w:r>
        <w:rPr>
          <w:rFonts w:ascii="Times New Roman" w:hAnsi="Times New Roman"/>
          <w:color w:val="1A1A1A"/>
          <w:sz w:val="22"/>
        </w:rPr>
        <w:t>Brandon's starting salary of $55,000 is competitive for a first-year trade associate in Central Ohio. There is no compensation change at this review. Subject to meeting the Q2 and Q3 goals, we will review again at the 6-month mark with the possibility of a performance adjustment.</w:t>
      </w:r>
    </w:p>
    <w:p/>
    <w:p>
      <w:pPr>
        <w:pStyle w:val="Heading1"/>
      </w:pPr>
      <w:r>
        <w:rPr>
          <w:rFonts w:ascii="Times New Roman" w:hAnsi="Times New Roman"/>
          <w:color w:val="1C3557"/>
        </w:rPr>
        <w:t>7. ACKNOWLEDGMENT</w:t>
      </w:r>
    </w:p>
    <w:p>
      <w:pPr>
        <w:spacing w:after="120"/>
      </w:pPr>
      <w:r>
        <w:rPr>
          <w:rFonts w:ascii="Times New Roman" w:hAnsi="Times New Roman"/>
          <w:color w:val="1A1A1A"/>
          <w:sz w:val="22"/>
        </w:rPr>
        <w:t>This review was discussed with Brandon Kim on April 10, 2025. He received a copy for his records.</w:t>
      </w:r>
    </w:p>
    <w:tbl>
      <w:tblPr>
        <w:tblStyle w:val="TableGrid"/>
        <w:tblW w:type="auto" w:w="0"/>
        <w:tblLook w:firstColumn="1" w:firstRow="1" w:lastColumn="0" w:lastRow="0" w:noHBand="0" w:noVBand="1" w:val="04A0"/>
      </w:tblPr>
      <w:tblGrid>
        <w:gridCol w:w="4320"/>
        <w:gridCol w:w="4320"/>
      </w:tblGrid>
      <w:tr>
        <w:tc>
          <w:tcPr>
            <w:tcW w:type="dxa" w:w="4032"/>
            <w:shd w:val="clear" w:color="auto" w:fill="1C3557"/>
          </w:tcPr>
          <w:p>
            <w:r>
              <w:rPr>
                <w:rFonts w:ascii="Times New Roman" w:hAnsi="Times New Roman"/>
                <w:b/>
                <w:color w:val="FFFFFF"/>
                <w:sz w:val="20"/>
              </w:rPr>
              <w:t>Field</w:t>
            </w:r>
          </w:p>
        </w:tc>
        <w:tc>
          <w:tcPr>
            <w:tcW w:type="dxa" w:w="5616"/>
            <w:shd w:val="clear" w:color="auto" w:fill="1C3557"/>
          </w:tcPr>
          <w:p>
            <w:r>
              <w:rPr>
                <w:rFonts w:ascii="Times New Roman" w:hAnsi="Times New Roman"/>
                <w:b/>
                <w:color w:val="FFFFFF"/>
                <w:sz w:val="20"/>
              </w:rPr>
            </w:r>
          </w:p>
        </w:tc>
      </w:tr>
      <w:tr>
        <w:tc>
          <w:tcPr>
            <w:tcW w:type="dxa" w:w="4032"/>
            <w:shd w:val="clear" w:color="auto" w:fill="F5F5F3"/>
          </w:tcPr>
          <w:p>
            <w:r>
              <w:rPr>
                <w:rFonts w:ascii="Times New Roman" w:hAnsi="Times New Roman"/>
                <w:sz w:val="20"/>
              </w:rPr>
              <w:t>Employee (Brandon Kim) Signature:</w:t>
            </w:r>
          </w:p>
        </w:tc>
        <w:tc>
          <w:tcPr>
            <w:tcW w:type="dxa" w:w="5616"/>
            <w:shd w:val="clear" w:color="auto" w:fill="F5F5F3"/>
          </w:tcPr>
          <w:p>
            <w:r>
              <w:rPr>
                <w:rFonts w:ascii="Times New Roman" w:hAnsi="Times New Roman"/>
                <w:sz w:val="20"/>
              </w:rPr>
            </w:r>
          </w:p>
        </w:tc>
      </w:tr>
      <w:tr>
        <w:tc>
          <w:tcPr>
            <w:tcW w:type="dxa" w:w="4032"/>
            <w:shd w:val="clear" w:color="auto" w:fill="FFFFFF"/>
          </w:tcPr>
          <w:p>
            <w:r>
              <w:rPr>
                <w:rFonts w:ascii="Times New Roman" w:hAnsi="Times New Roman"/>
                <w:sz w:val="20"/>
              </w:rPr>
              <w:t>Reviewer (Jason R. Kim) Signature:</w:t>
            </w:r>
          </w:p>
        </w:tc>
        <w:tc>
          <w:tcPr>
            <w:tcW w:type="dxa" w:w="5616"/>
            <w:shd w:val="clear" w:color="auto" w:fill="FFFFFF"/>
          </w:tcPr>
          <w:p>
            <w:r>
              <w:rPr>
                <w:rFonts w:ascii="Times New Roman" w:hAnsi="Times New Roman"/>
                <w:sz w:val="20"/>
              </w:rPr>
            </w:r>
          </w:p>
        </w:tc>
      </w:tr>
      <w:tr>
        <w:tc>
          <w:tcPr>
            <w:tcW w:type="dxa" w:w="4032"/>
            <w:shd w:val="clear" w:color="auto" w:fill="F5F5F3"/>
          </w:tcPr>
          <w:p>
            <w:r>
              <w:rPr>
                <w:rFonts w:ascii="Times New Roman" w:hAnsi="Times New Roman"/>
                <w:sz w:val="20"/>
              </w:rPr>
              <w:t>Date:</w:t>
            </w:r>
          </w:p>
        </w:tc>
        <w:tc>
          <w:tcPr>
            <w:tcW w:type="dxa" w:w="5616"/>
            <w:shd w:val="clear" w:color="auto" w:fill="F5F5F3"/>
          </w:tcPr>
          <w:p>
            <w:r>
              <w:rPr>
                <w:rFonts w:ascii="Times New Roman" w:hAnsi="Times New Roman"/>
                <w:sz w:val="20"/>
              </w:rPr>
              <w:t>April 10, 2025</w:t>
            </w:r>
          </w:p>
        </w:tc>
      </w:tr>
    </w:tbl>
    <w:p/>
    <w:p>
      <w:pPr>
        <w:pStyle w:val="Heading1"/>
        <w:spacing w:before="240" w:after="80"/>
      </w:pPr>
      <w:r>
        <w:rPr>
          <w:b/>
          <w:color w:val="1C3557"/>
          <w:sz w:val="24"/>
        </w:rPr>
        <w:t>8. SIX-MONTH DEVELOPMENT PLAN</w:t>
      </w:r>
    </w:p>
    <w:p>
      <w:pPr>
        <w:spacing w:after="80"/>
      </w:pPr>
      <w:r>
        <w:rPr>
          <w:sz w:val="20"/>
        </w:rPr>
        <w:t>Following the 90-day review, the focus shifts from orientation to active skill development. The plan below covers April through September 2025. Goals are drawn from the firm's competency framework for licensed trade specialists and from Brandon's self-identified development areas. See d1.docx for the foundational onboarding benchmarks this plan builds 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tcPr>
          <w:p>
            <w:r>
              <w:rPr>
                <w:b/>
                <w:sz w:val="18"/>
              </w:rPr>
              <w:t>Goal Area</w:t>
            </w:r>
          </w:p>
        </w:tc>
        <w:tc>
          <w:tcPr>
            <w:tcW w:type="dxa" w:w="3168"/>
          </w:tcPr>
          <w:p>
            <w:r>
              <w:rPr>
                <w:b/>
                <w:sz w:val="18"/>
              </w:rPr>
              <w:t>Specific Target</w:t>
            </w:r>
          </w:p>
        </w:tc>
        <w:tc>
          <w:tcPr>
            <w:tcW w:type="dxa" w:w="1296"/>
          </w:tcPr>
          <w:p>
            <w:r>
              <w:rPr>
                <w:b/>
                <w:sz w:val="18"/>
              </w:rPr>
              <w:t>Timeline</w:t>
            </w:r>
          </w:p>
        </w:tc>
        <w:tc>
          <w:tcPr>
            <w:tcW w:type="dxa" w:w="2160"/>
          </w:tcPr>
          <w:p>
            <w:r>
              <w:rPr>
                <w:b/>
                <w:sz w:val="18"/>
              </w:rPr>
              <w:t>Measure</w:t>
            </w:r>
          </w:p>
        </w:tc>
        <w:tc>
          <w:tcPr>
            <w:tcW w:type="dxa" w:w="1728"/>
          </w:tcPr>
          <w:p>
            <w:r>
              <w:rPr>
                <w:b/>
                <w:sz w:val="18"/>
              </w:rPr>
              <w:t>Owner</w:t>
            </w:r>
          </w:p>
        </w:tc>
      </w:tr>
      <w:tr>
        <w:tc>
          <w:tcPr>
            <w:tcW w:type="dxa" w:w="2016"/>
          </w:tcPr>
          <w:p>
            <w:r>
              <w:rPr>
                <w:sz w:val="18"/>
              </w:rPr>
              <w:t>Tariff classification</w:t>
            </w:r>
          </w:p>
        </w:tc>
        <w:tc>
          <w:tcPr>
            <w:tcW w:type="dxa" w:w="3168"/>
          </w:tcPr>
          <w:p>
            <w:r>
              <w:rPr>
                <w:sz w:val="18"/>
              </w:rPr>
              <w:t>Complete 50 supervised HTS classification exercises with under 5% error rate</w:t>
            </w:r>
          </w:p>
        </w:tc>
        <w:tc>
          <w:tcPr>
            <w:tcW w:type="dxa" w:w="1296"/>
          </w:tcPr>
          <w:p>
            <w:r>
              <w:rPr>
                <w:sz w:val="18"/>
              </w:rPr>
              <w:t>Q2 2025</w:t>
            </w:r>
          </w:p>
        </w:tc>
        <w:tc>
          <w:tcPr>
            <w:tcW w:type="dxa" w:w="2160"/>
          </w:tcPr>
          <w:p>
            <w:r>
              <w:rPr>
                <w:sz w:val="18"/>
              </w:rPr>
              <w:t>Error rate tracking in x6.xlsx</w:t>
            </w:r>
          </w:p>
        </w:tc>
        <w:tc>
          <w:tcPr>
            <w:tcW w:type="dxa" w:w="1728"/>
          </w:tcPr>
          <w:p>
            <w:r>
              <w:rPr>
                <w:sz w:val="18"/>
              </w:rPr>
              <w:t>Brandon with Jason review</w:t>
            </w:r>
          </w:p>
        </w:tc>
      </w:tr>
      <w:tr>
        <w:tc>
          <w:tcPr>
            <w:tcW w:type="dxa" w:w="2016"/>
          </w:tcPr>
          <w:p>
            <w:r>
              <w:rPr>
                <w:sz w:val="18"/>
              </w:rPr>
              <w:t>USMCA compliance</w:t>
            </w:r>
          </w:p>
        </w:tc>
        <w:tc>
          <w:tcPr>
            <w:tcW w:type="dxa" w:w="3168"/>
          </w:tcPr>
          <w:p>
            <w:r>
              <w:rPr>
                <w:sz w:val="18"/>
              </w:rPr>
              <w:t>Draft three USMCA origin determinations under Pat Delgado review</w:t>
            </w:r>
          </w:p>
        </w:tc>
        <w:tc>
          <w:tcPr>
            <w:tcW w:type="dxa" w:w="1296"/>
          </w:tcPr>
          <w:p>
            <w:r>
              <w:rPr>
                <w:sz w:val="18"/>
              </w:rPr>
              <w:t>Q2 2025</w:t>
            </w:r>
          </w:p>
        </w:tc>
        <w:tc>
          <w:tcPr>
            <w:tcW w:type="dxa" w:w="2160"/>
          </w:tcPr>
          <w:p>
            <w:r>
              <w:rPr>
                <w:sz w:val="18"/>
              </w:rPr>
              <w:t>Pat sign-off on all three</w:t>
            </w:r>
          </w:p>
        </w:tc>
        <w:tc>
          <w:tcPr>
            <w:tcW w:type="dxa" w:w="1728"/>
          </w:tcPr>
          <w:p>
            <w:r>
              <w:rPr>
                <w:sz w:val="18"/>
              </w:rPr>
              <w:t>Brandon, Pat review</w:t>
            </w:r>
          </w:p>
        </w:tc>
      </w:tr>
      <w:tr>
        <w:tc>
          <w:tcPr>
            <w:tcW w:type="dxa" w:w="2016"/>
          </w:tcPr>
          <w:p>
            <w:r>
              <w:rPr>
                <w:sz w:val="18"/>
              </w:rPr>
              <w:t>Client communication</w:t>
            </w:r>
          </w:p>
        </w:tc>
        <w:tc>
          <w:tcPr>
            <w:tcW w:type="dxa" w:w="3168"/>
          </w:tcPr>
          <w:p>
            <w:r>
              <w:rPr>
                <w:sz w:val="18"/>
              </w:rPr>
              <w:t>Lead two client update calls with Jason present</w:t>
            </w:r>
          </w:p>
        </w:tc>
        <w:tc>
          <w:tcPr>
            <w:tcW w:type="dxa" w:w="1296"/>
          </w:tcPr>
          <w:p>
            <w:r>
              <w:rPr>
                <w:sz w:val="18"/>
              </w:rPr>
              <w:t>Q3 2025</w:t>
            </w:r>
          </w:p>
        </w:tc>
        <w:tc>
          <w:tcPr>
            <w:tcW w:type="dxa" w:w="2160"/>
          </w:tcPr>
          <w:p>
            <w:r>
              <w:rPr>
                <w:sz w:val="18"/>
              </w:rPr>
              <w:t>Jason feedback after each call</w:t>
            </w:r>
          </w:p>
        </w:tc>
        <w:tc>
          <w:tcPr>
            <w:tcW w:type="dxa" w:w="1728"/>
          </w:tcPr>
          <w:p>
            <w:r>
              <w:rPr>
                <w:sz w:val="18"/>
              </w:rPr>
              <w:t>Jason assigns clients</w:t>
            </w:r>
          </w:p>
        </w:tc>
      </w:tr>
      <w:tr>
        <w:tc>
          <w:tcPr>
            <w:tcW w:type="dxa" w:w="2016"/>
          </w:tcPr>
          <w:p>
            <w:r>
              <w:rPr>
                <w:sz w:val="18"/>
              </w:rPr>
              <w:t>Customs filing software</w:t>
            </w:r>
          </w:p>
        </w:tc>
        <w:tc>
          <w:tcPr>
            <w:tcW w:type="dxa" w:w="3168"/>
          </w:tcPr>
          <w:p>
            <w:r>
              <w:rPr>
                <w:sz w:val="18"/>
              </w:rPr>
              <w:t>Achieve independent status on TradeFlow Pro entry module</w:t>
            </w:r>
          </w:p>
        </w:tc>
        <w:tc>
          <w:tcPr>
            <w:tcW w:type="dxa" w:w="1296"/>
          </w:tcPr>
          <w:p>
            <w:r>
              <w:rPr>
                <w:sz w:val="18"/>
              </w:rPr>
              <w:t>Q2 2025</w:t>
            </w:r>
          </w:p>
        </w:tc>
        <w:tc>
          <w:tcPr>
            <w:tcW w:type="dxa" w:w="2160"/>
          </w:tcPr>
          <w:p>
            <w:r>
              <w:rPr>
                <w:sz w:val="18"/>
              </w:rPr>
              <w:t>Pat certifies independent status</w:t>
            </w:r>
          </w:p>
        </w:tc>
        <w:tc>
          <w:tcPr>
            <w:tcW w:type="dxa" w:w="1728"/>
          </w:tcPr>
          <w:p>
            <w:r>
              <w:rPr>
                <w:sz w:val="18"/>
              </w:rPr>
              <w:t>Brandon, Pat training</w:t>
            </w:r>
          </w:p>
        </w:tc>
      </w:tr>
      <w:tr>
        <w:tc>
          <w:tcPr>
            <w:tcW w:type="dxa" w:w="2016"/>
          </w:tcPr>
          <w:p>
            <w:r>
              <w:rPr>
                <w:sz w:val="18"/>
              </w:rPr>
              <w:t>Industry knowledge</w:t>
            </w:r>
          </w:p>
        </w:tc>
        <w:tc>
          <w:tcPr>
            <w:tcW w:type="dxa" w:w="3168"/>
          </w:tcPr>
          <w:p>
            <w:r>
              <w:rPr>
                <w:sz w:val="18"/>
              </w:rPr>
              <w:t>Read and summarize three CBP rulings from 2024-2025</w:t>
            </w:r>
          </w:p>
        </w:tc>
        <w:tc>
          <w:tcPr>
            <w:tcW w:type="dxa" w:w="1296"/>
          </w:tcPr>
          <w:p>
            <w:r>
              <w:rPr>
                <w:sz w:val="18"/>
              </w:rPr>
              <w:t>Q3 2025</w:t>
            </w:r>
          </w:p>
        </w:tc>
        <w:tc>
          <w:tcPr>
            <w:tcW w:type="dxa" w:w="2160"/>
          </w:tcPr>
          <w:p>
            <w:r>
              <w:rPr>
                <w:sz w:val="18"/>
              </w:rPr>
              <w:t>Written summaries to Jason</w:t>
            </w:r>
          </w:p>
        </w:tc>
        <w:tc>
          <w:tcPr>
            <w:tcW w:type="dxa" w:w="1728"/>
          </w:tcPr>
          <w:p>
            <w:r>
              <w:rPr>
                <w:sz w:val="18"/>
              </w:rPr>
              <w:t>Brandon self-directed</w:t>
            </w:r>
          </w:p>
        </w:tc>
      </w:tr>
      <w:tr>
        <w:tc>
          <w:tcPr>
            <w:tcW w:type="dxa" w:w="2016"/>
          </w:tcPr>
          <w:p>
            <w:r>
              <w:rPr>
                <w:sz w:val="18"/>
              </w:rPr>
              <w:t>Customs Broker Exam prep</w:t>
            </w:r>
          </w:p>
        </w:tc>
        <w:tc>
          <w:tcPr>
            <w:tcW w:type="dxa" w:w="3168"/>
          </w:tcPr>
          <w:p>
            <w:r>
              <w:rPr>
                <w:sz w:val="18"/>
              </w:rPr>
              <w:t>Begin structured study; target October 2027 exam window</w:t>
            </w:r>
          </w:p>
        </w:tc>
        <w:tc>
          <w:tcPr>
            <w:tcW w:type="dxa" w:w="1296"/>
          </w:tcPr>
          <w:p>
            <w:r>
              <w:rPr>
                <w:sz w:val="18"/>
              </w:rPr>
              <w:t>Q3 2025 start</w:t>
            </w:r>
          </w:p>
        </w:tc>
        <w:tc>
          <w:tcPr>
            <w:tcW w:type="dxa" w:w="2160"/>
          </w:tcPr>
          <w:p>
            <w:r>
              <w:rPr>
                <w:sz w:val="18"/>
              </w:rPr>
              <w:t>Study log maintained monthly</w:t>
            </w:r>
          </w:p>
        </w:tc>
        <w:tc>
          <w:tcPr>
            <w:tcW w:type="dxa" w:w="1728"/>
          </w:tcPr>
          <w:p>
            <w:r>
              <w:rPr>
                <w:sz w:val="18"/>
              </w:rPr>
              <w:t>Brandon self-directed</w:t>
            </w:r>
          </w:p>
        </w:tc>
      </w:tr>
    </w:tbl>
    <w:p>
      <w:pPr>
        <w:spacing w:after="80"/>
      </w:pPr>
      <w:r>
        <w:rPr>
          <w:sz w:val="20"/>
        </w:rPr>
      </w:r>
    </w:p>
    <w:p>
      <w:pPr>
        <w:pStyle w:val="Heading1"/>
        <w:spacing w:before="240" w:after="80"/>
      </w:pPr>
      <w:r>
        <w:rPr>
          <w:b/>
          <w:color w:val="1C3557"/>
          <w:sz w:val="24"/>
        </w:rPr>
        <w:t>9. COMPENSATION REVIEW SCHEDULE</w:t>
      </w:r>
    </w:p>
    <w:p>
      <w:pPr>
        <w:spacing w:after="80"/>
      </w:pPr>
      <w:r>
        <w:rPr>
          <w:sz w:val="20"/>
        </w:rPr>
        <w:t>Brandon's starting compensation is documented in x6.xlsx. Per the onboarding agreement referenced in d1.docx, compensation reviews are scheduled at the 90-day, 12-month, and 24-month marks. The 90-day review is this document. The 12-month review is scheduled for January 2026 and will be based on the following criteria:</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18"/>
              </w:rPr>
              <w:t>Criterion</w:t>
            </w:r>
          </w:p>
        </w:tc>
        <w:tc>
          <w:tcPr>
            <w:tcW w:type="dxa" w:w="1152"/>
          </w:tcPr>
          <w:p>
            <w:r>
              <w:rPr>
                <w:b/>
                <w:sz w:val="18"/>
              </w:rPr>
              <w:t>Weight</w:t>
            </w:r>
          </w:p>
        </w:tc>
        <w:tc>
          <w:tcPr>
            <w:tcW w:type="dxa" w:w="4752"/>
          </w:tcPr>
          <w:p>
            <w:r>
              <w:rPr>
                <w:b/>
                <w:sz w:val="18"/>
              </w:rPr>
              <w:t>Notes</w:t>
            </w:r>
          </w:p>
        </w:tc>
      </w:tr>
      <w:tr>
        <w:tc>
          <w:tcPr>
            <w:tcW w:type="dxa" w:w="3600"/>
          </w:tcPr>
          <w:p>
            <w:r>
              <w:rPr>
                <w:sz w:val="18"/>
              </w:rPr>
              <w:t>Tariff classification accuracy</w:t>
            </w:r>
          </w:p>
        </w:tc>
        <w:tc>
          <w:tcPr>
            <w:tcW w:type="dxa" w:w="1152"/>
          </w:tcPr>
          <w:p>
            <w:r>
              <w:rPr>
                <w:sz w:val="18"/>
              </w:rPr>
              <w:t>25%</w:t>
            </w:r>
          </w:p>
        </w:tc>
        <w:tc>
          <w:tcPr>
            <w:tcW w:type="dxa" w:w="4752"/>
          </w:tcPr>
          <w:p>
            <w:r>
              <w:rPr>
                <w:sz w:val="18"/>
              </w:rPr>
              <w:t>Error rate below 5% sustained over 6 months</w:t>
            </w:r>
          </w:p>
        </w:tc>
      </w:tr>
      <w:tr>
        <w:tc>
          <w:tcPr>
            <w:tcW w:type="dxa" w:w="3600"/>
          </w:tcPr>
          <w:p>
            <w:r>
              <w:rPr>
                <w:sz w:val="18"/>
              </w:rPr>
              <w:t>Filing timeliness</w:t>
            </w:r>
          </w:p>
        </w:tc>
        <w:tc>
          <w:tcPr>
            <w:tcW w:type="dxa" w:w="1152"/>
          </w:tcPr>
          <w:p>
            <w:r>
              <w:rPr>
                <w:sz w:val="18"/>
              </w:rPr>
              <w:t>20%</w:t>
            </w:r>
          </w:p>
        </w:tc>
        <w:tc>
          <w:tcPr>
            <w:tcW w:type="dxa" w:w="4752"/>
          </w:tcPr>
          <w:p>
            <w:r>
              <w:rPr>
                <w:sz w:val="18"/>
              </w:rPr>
              <w:t>No missed deadlines attributable to Brandon</w:t>
            </w:r>
          </w:p>
        </w:tc>
      </w:tr>
      <w:tr>
        <w:tc>
          <w:tcPr>
            <w:tcW w:type="dxa" w:w="3600"/>
          </w:tcPr>
          <w:p>
            <w:r>
              <w:rPr>
                <w:sz w:val="18"/>
              </w:rPr>
              <w:t>Client feedback</w:t>
            </w:r>
          </w:p>
        </w:tc>
        <w:tc>
          <w:tcPr>
            <w:tcW w:type="dxa" w:w="1152"/>
          </w:tcPr>
          <w:p>
            <w:r>
              <w:rPr>
                <w:sz w:val="18"/>
              </w:rPr>
              <w:t>20%</w:t>
            </w:r>
          </w:p>
        </w:tc>
        <w:tc>
          <w:tcPr>
            <w:tcW w:type="dxa" w:w="4752"/>
          </w:tcPr>
          <w:p>
            <w:r>
              <w:rPr>
                <w:sz w:val="18"/>
              </w:rPr>
              <w:t>Positive feedback from at least 2 assigned clients</w:t>
            </w:r>
          </w:p>
        </w:tc>
      </w:tr>
      <w:tr>
        <w:tc>
          <w:tcPr>
            <w:tcW w:type="dxa" w:w="3600"/>
          </w:tcPr>
          <w:p>
            <w:r>
              <w:rPr>
                <w:sz w:val="18"/>
              </w:rPr>
              <w:t>Compliance knowledge</w:t>
            </w:r>
          </w:p>
        </w:tc>
        <w:tc>
          <w:tcPr>
            <w:tcW w:type="dxa" w:w="1152"/>
          </w:tcPr>
          <w:p>
            <w:r>
              <w:rPr>
                <w:sz w:val="18"/>
              </w:rPr>
              <w:t>20%</w:t>
            </w:r>
          </w:p>
        </w:tc>
        <w:tc>
          <w:tcPr>
            <w:tcW w:type="dxa" w:w="4752"/>
          </w:tcPr>
          <w:p>
            <w:r>
              <w:rPr>
                <w:sz w:val="18"/>
              </w:rPr>
              <w:t>Pass internal compliance quiz at 85% or above</w:t>
            </w:r>
          </w:p>
        </w:tc>
      </w:tr>
      <w:tr>
        <w:tc>
          <w:tcPr>
            <w:tcW w:type="dxa" w:w="3600"/>
          </w:tcPr>
          <w:p>
            <w:r>
              <w:rPr>
                <w:sz w:val="18"/>
              </w:rPr>
              <w:t>Team contribution</w:t>
            </w:r>
          </w:p>
        </w:tc>
        <w:tc>
          <w:tcPr>
            <w:tcW w:type="dxa" w:w="1152"/>
          </w:tcPr>
          <w:p>
            <w:r>
              <w:rPr>
                <w:sz w:val="18"/>
              </w:rPr>
              <w:t>15%</w:t>
            </w:r>
          </w:p>
        </w:tc>
        <w:tc>
          <w:tcPr>
            <w:tcW w:type="dxa" w:w="4752"/>
          </w:tcPr>
          <w:p>
            <w:r>
              <w:rPr>
                <w:sz w:val="18"/>
              </w:rPr>
              <w:t>Pat Delgado input on collaboration and professionalism</w:t>
            </w:r>
          </w:p>
        </w:tc>
      </w:tr>
    </w:tbl>
    <w:p>
      <w:pPr>
        <w:spacing w:after="80"/>
      </w:pPr>
      <w:r>
        <w:rPr>
          <w:sz w:val="20"/>
        </w:rPr>
      </w:r>
    </w:p>
    <w:p>
      <w:pPr>
        <w:spacing w:after="80"/>
      </w:pPr>
      <w:r>
        <w:rPr>
          <w:sz w:val="20"/>
        </w:rPr>
        <w:t>If performance meets or exceeds criteria at the 12-month review, a salary adjustment of 8 to 12 percent will be considered, subject to firm revenue performance in the fourth quarter of 2025. See x6.xlsx for the current compensation structure and planned review schedule.</w:t>
      </w:r>
    </w:p>
    <w:p>
      <w:pPr>
        <w:spacing w:after="80"/>
      </w:pPr>
      <w:r>
        <w:rPr>
          <w:sz w:val="20"/>
        </w:rPr>
      </w:r>
    </w:p>
    <w:p>
      <w:pPr>
        <w:spacing w:after="80"/>
      </w:pPr>
      <w:r>
        <w:rPr>
          <w:sz w:val="20"/>
        </w:rPr>
        <w:t>10. REVIEW ACKNOWLEDGMENT AND NEXT REVIEW DATE</w:t>
      </w:r>
    </w:p>
    <w:p>
      <w:pPr>
        <w:spacing w:after="80"/>
      </w:pPr>
      <w:r>
        <w:rPr>
          <w:sz w:val="20"/>
        </w:rPr>
        <w:t>This 90-day review has been discussed with Brandon Kim. Both parties have reviewed the content and agree on the development goals and next review date of January 2026. The formal 12-month review will be documented in a separate review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