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1C3557"/>
        </w:rPr>
        <w:t>KIM TRADE SERVICES</w:t>
      </w:r>
    </w:p>
    <w:p>
      <w:pPr>
        <w:pStyle w:val="Heading1"/>
      </w:pPr>
      <w:r>
        <w:rPr>
          <w:rFonts w:ascii="Times New Roman" w:hAnsi="Times New Roman"/>
          <w:color w:val="1C3557"/>
        </w:rPr>
        <w:t>NEW EMPLOYEE ONBOARDING GUIDE</w:t>
      </w:r>
    </w:p>
    <w:p>
      <w:pPr>
        <w:spacing w:after="120"/>
      </w:pPr>
      <w:r>
        <w:rPr>
          <w:rFonts w:ascii="Times New Roman" w:hAnsi="Times New Roman"/>
          <w:color w:val="1A1A1A"/>
          <w:sz w:val="22"/>
        </w:rPr>
        <w:t>Issued by: Jason Robert Kim, Managing Principal | Effective: January 6, 2025 | Version: 2025-01</w:t>
      </w:r>
    </w:p>
    <w:p/>
    <w:p>
      <w:pPr>
        <w:pStyle w:val="Heading1"/>
      </w:pPr>
      <w:r>
        <w:rPr>
          <w:rFonts w:ascii="Times New Roman" w:hAnsi="Times New Roman"/>
          <w:color w:val="1C3557"/>
        </w:rPr>
        <w:t>1. WELCOME TO KIM TRADE SERVICES</w:t>
      </w:r>
    </w:p>
    <w:p>
      <w:pPr>
        <w:spacing w:after="120"/>
      </w:pPr>
      <w:r>
        <w:rPr>
          <w:rFonts w:ascii="Times New Roman" w:hAnsi="Times New Roman"/>
          <w:color w:val="1A1A1A"/>
          <w:sz w:val="22"/>
        </w:rPr>
        <w:t>This guide is designed to give new team members a clear picture of how the firm operates, what is expected, and how to get up to speed as quickly as possible. We are a six-person trade compliance firm. Everyone here does real work, and every piece of work we produce carries the reputation of the firm behind it. That is not a warning. It is simply how this business works.</w:t>
      </w:r>
    </w:p>
    <w:p>
      <w:pPr>
        <w:spacing w:after="120"/>
      </w:pPr>
      <w:r>
        <w:rPr>
          <w:rFonts w:ascii="Times New Roman" w:hAnsi="Times New Roman"/>
          <w:color w:val="1A1A1A"/>
          <w:sz w:val="22"/>
        </w:rPr>
        <w:t>Questions during your first thirty days should go to Patricia Delgado, our office manager, who handles the day-to-day operational spine of the firm. On filing and compliance questions, bring those directly to the principal or to one of the licensed trade compliance specialists. We do not guess on client-facing work.</w:t>
      </w:r>
    </w:p>
    <w:p>
      <w:pPr>
        <w:pStyle w:val="Heading1"/>
      </w:pPr>
      <w:r>
        <w:rPr>
          <w:rFonts w:ascii="Times New Roman" w:hAnsi="Times New Roman"/>
          <w:color w:val="1C3557"/>
        </w:rPr>
        <w:t>2. FIRM OVERVIEW</w:t>
      </w:r>
    </w:p>
    <w:p>
      <w:pPr>
        <w:spacing w:after="120"/>
      </w:pPr>
      <w:r>
        <w:rPr>
          <w:rFonts w:ascii="Times New Roman" w:hAnsi="Times New Roman"/>
          <w:color w:val="1A1A1A"/>
          <w:sz w:val="22"/>
        </w:rPr>
        <w:t>Kim Trade Services was founded in 2008 by Jason Robert Kim after seven years at National Trade Associates. We serve a client base of thirty to forty active accounts, primarily mid-size manufacturers and agricultural exporters concentrated in automotive parts, agricultural products, and textiles. Our services include trade compliance filing, tariff classification, USMCA compliance consulting, trade facilitation, duty drawback claims, and importer security filing.</w:t>
      </w:r>
    </w:p>
    <w:p>
      <w:pPr>
        <w:spacing w:after="120"/>
      </w:pPr>
      <w:r>
        <w:rPr>
          <w:rFonts w:ascii="Times New Roman" w:hAnsi="Times New Roman"/>
          <w:color w:val="1A1A1A"/>
          <w:sz w:val="22"/>
        </w:rPr>
        <w:t>The firm occupies a commercial suite at 820 Commerce Park Drive, Suite 204, Columbus, OH 43215. Our primary systems are TradeFlow Pro for case and document management and Midwest Commerce Bank online for financial operations. We are evaluating a transition to BridgePort Compliance Suite for improved USMCA integration.</w:t>
      </w:r>
    </w:p>
    <w:p>
      <w:pPr>
        <w:pStyle w:val="Heading1"/>
      </w:pPr>
      <w:r>
        <w:rPr>
          <w:rFonts w:ascii="Times New Roman" w:hAnsi="Times New Roman"/>
          <w:color w:val="1C3557"/>
        </w:rPr>
        <w:t>3. TEAM STRUCTURE</w:t>
      </w:r>
    </w:p>
    <w:tbl>
      <w:tblPr>
        <w:tblStyle w:val="TableGrid"/>
        <w:tblW w:type="auto" w:w="0"/>
        <w:tblLook w:firstColumn="1" w:firstRow="1" w:lastColumn="0" w:lastRow="0" w:noHBand="0" w:noVBand="1" w:val="04A0"/>
      </w:tblPr>
      <w:tblGrid>
        <w:gridCol w:w="2880"/>
        <w:gridCol w:w="2880"/>
        <w:gridCol w:w="2880"/>
      </w:tblGrid>
      <w:tr>
        <w:tc>
          <w:tcPr>
            <w:tcW w:type="dxa" w:w="2592"/>
            <w:shd w:val="clear" w:color="auto" w:fill="1C3557"/>
          </w:tcPr>
          <w:p>
            <w:r>
              <w:rPr>
                <w:rFonts w:ascii="Times New Roman" w:hAnsi="Times New Roman"/>
                <w:b/>
                <w:color w:val="FFFFFF"/>
                <w:sz w:val="20"/>
              </w:rPr>
              <w:t>Name</w:t>
            </w:r>
          </w:p>
        </w:tc>
        <w:tc>
          <w:tcPr>
            <w:tcW w:type="dxa" w:w="2592"/>
            <w:shd w:val="clear" w:color="auto" w:fill="1C3557"/>
          </w:tcPr>
          <w:p>
            <w:r>
              <w:rPr>
                <w:rFonts w:ascii="Times New Roman" w:hAnsi="Times New Roman"/>
                <w:b/>
                <w:color w:val="FFFFFF"/>
                <w:sz w:val="20"/>
              </w:rPr>
              <w:t>Role</w:t>
            </w:r>
          </w:p>
        </w:tc>
        <w:tc>
          <w:tcPr>
            <w:tcW w:type="dxa" w:w="4608"/>
            <w:shd w:val="clear" w:color="auto" w:fill="1C3557"/>
          </w:tcPr>
          <w:p>
            <w:r>
              <w:rPr>
                <w:rFonts w:ascii="Times New Roman" w:hAnsi="Times New Roman"/>
                <w:b/>
                <w:color w:val="FFFFFF"/>
                <w:sz w:val="20"/>
              </w:rPr>
              <w:t>Primary Responsibility</w:t>
            </w:r>
          </w:p>
        </w:tc>
      </w:tr>
      <w:tr>
        <w:tc>
          <w:tcPr>
            <w:tcW w:type="dxa" w:w="2592"/>
            <w:shd w:val="clear" w:color="auto" w:fill="F5F5F3"/>
          </w:tcPr>
          <w:p>
            <w:r>
              <w:rPr>
                <w:rFonts w:ascii="Times New Roman" w:hAnsi="Times New Roman"/>
                <w:sz w:val="20"/>
              </w:rPr>
              <w:t>Jason Robert Kim</w:t>
            </w:r>
          </w:p>
        </w:tc>
        <w:tc>
          <w:tcPr>
            <w:tcW w:type="dxa" w:w="2592"/>
            <w:shd w:val="clear" w:color="auto" w:fill="F5F5F3"/>
          </w:tcPr>
          <w:p>
            <w:r>
              <w:rPr>
                <w:rFonts w:ascii="Times New Roman" w:hAnsi="Times New Roman"/>
                <w:sz w:val="20"/>
              </w:rPr>
              <w:t>Managing Principal</w:t>
            </w:r>
          </w:p>
        </w:tc>
        <w:tc>
          <w:tcPr>
            <w:tcW w:type="dxa" w:w="4608"/>
            <w:shd w:val="clear" w:color="auto" w:fill="F5F5F3"/>
          </w:tcPr>
          <w:p>
            <w:r>
              <w:rPr>
                <w:rFonts w:ascii="Times New Roman" w:hAnsi="Times New Roman"/>
                <w:sz w:val="20"/>
              </w:rPr>
              <w:t>Client relationships, compliance opinions, final sign-off</w:t>
            </w:r>
          </w:p>
        </w:tc>
      </w:tr>
      <w:tr>
        <w:tc>
          <w:tcPr>
            <w:tcW w:type="dxa" w:w="2592"/>
            <w:shd w:val="clear" w:color="auto" w:fill="FFFFFF"/>
          </w:tcPr>
          <w:p>
            <w:r>
              <w:rPr>
                <w:rFonts w:ascii="Times New Roman" w:hAnsi="Times New Roman"/>
                <w:sz w:val="20"/>
              </w:rPr>
              <w:t>Patricia Delgado</w:t>
            </w:r>
          </w:p>
        </w:tc>
        <w:tc>
          <w:tcPr>
            <w:tcW w:type="dxa" w:w="2592"/>
            <w:shd w:val="clear" w:color="auto" w:fill="FFFFFF"/>
          </w:tcPr>
          <w:p>
            <w:r>
              <w:rPr>
                <w:rFonts w:ascii="Times New Roman" w:hAnsi="Times New Roman"/>
                <w:sz w:val="20"/>
              </w:rPr>
              <w:t>Office Manager</w:t>
            </w:r>
          </w:p>
        </w:tc>
        <w:tc>
          <w:tcPr>
            <w:tcW w:type="dxa" w:w="4608"/>
            <w:shd w:val="clear" w:color="auto" w:fill="FFFFFF"/>
          </w:tcPr>
          <w:p>
            <w:r>
              <w:rPr>
                <w:rFonts w:ascii="Times New Roman" w:hAnsi="Times New Roman"/>
                <w:sz w:val="20"/>
              </w:rPr>
              <w:t>Operations, billing, HR records, scheduling</w:t>
            </w:r>
          </w:p>
        </w:tc>
      </w:tr>
      <w:tr>
        <w:tc>
          <w:tcPr>
            <w:tcW w:type="dxa" w:w="2592"/>
            <w:shd w:val="clear" w:color="auto" w:fill="F5F5F3"/>
          </w:tcPr>
          <w:p>
            <w:r>
              <w:rPr>
                <w:rFonts w:ascii="Times New Roman" w:hAnsi="Times New Roman"/>
                <w:sz w:val="20"/>
              </w:rPr>
              <w:t>Brandon Kim</w:t>
            </w:r>
          </w:p>
        </w:tc>
        <w:tc>
          <w:tcPr>
            <w:tcW w:type="dxa" w:w="2592"/>
            <w:shd w:val="clear" w:color="auto" w:fill="F5F5F3"/>
          </w:tcPr>
          <w:p>
            <w:r>
              <w:rPr>
                <w:rFonts w:ascii="Times New Roman" w:hAnsi="Times New Roman"/>
                <w:sz w:val="20"/>
              </w:rPr>
              <w:t>Junior Associate</w:t>
            </w:r>
          </w:p>
        </w:tc>
        <w:tc>
          <w:tcPr>
            <w:tcW w:type="dxa" w:w="4608"/>
            <w:shd w:val="clear" w:color="auto" w:fill="F5F5F3"/>
          </w:tcPr>
          <w:p>
            <w:r>
              <w:rPr>
                <w:rFonts w:ascii="Times New Roman" w:hAnsi="Times New Roman"/>
                <w:sz w:val="20"/>
              </w:rPr>
              <w:t>Filing support, tariff classification research</w:t>
            </w:r>
          </w:p>
        </w:tc>
      </w:tr>
      <w:tr>
        <w:tc>
          <w:tcPr>
            <w:tcW w:type="dxa" w:w="2592"/>
            <w:shd w:val="clear" w:color="auto" w:fill="FFFFFF"/>
          </w:tcPr>
          <w:p>
            <w:r>
              <w:rPr>
                <w:rFonts w:ascii="Times New Roman" w:hAnsi="Times New Roman"/>
                <w:sz w:val="20"/>
              </w:rPr>
              <w:t>Annette Ruiz</w:t>
            </w:r>
          </w:p>
        </w:tc>
        <w:tc>
          <w:tcPr>
            <w:tcW w:type="dxa" w:w="2592"/>
            <w:shd w:val="clear" w:color="auto" w:fill="FFFFFF"/>
          </w:tcPr>
          <w:p>
            <w:r>
              <w:rPr>
                <w:rFonts w:ascii="Times New Roman" w:hAnsi="Times New Roman"/>
                <w:sz w:val="20"/>
              </w:rPr>
              <w:t>Trade Compliance Specialist</w:t>
            </w:r>
          </w:p>
        </w:tc>
        <w:tc>
          <w:tcPr>
            <w:tcW w:type="dxa" w:w="4608"/>
            <w:shd w:val="clear" w:color="auto" w:fill="FFFFFF"/>
          </w:tcPr>
          <w:p>
            <w:r>
              <w:rPr>
                <w:rFonts w:ascii="Times New Roman" w:hAnsi="Times New Roman"/>
                <w:sz w:val="20"/>
              </w:rPr>
              <w:t>Import filings, USMCA cert preparation</w:t>
            </w:r>
          </w:p>
        </w:tc>
      </w:tr>
      <w:tr>
        <w:tc>
          <w:tcPr>
            <w:tcW w:type="dxa" w:w="2592"/>
            <w:shd w:val="clear" w:color="auto" w:fill="F5F5F3"/>
          </w:tcPr>
          <w:p>
            <w:r>
              <w:rPr>
                <w:rFonts w:ascii="Times New Roman" w:hAnsi="Times New Roman"/>
                <w:sz w:val="20"/>
              </w:rPr>
              <w:t>Marcus Ford</w:t>
            </w:r>
          </w:p>
        </w:tc>
        <w:tc>
          <w:tcPr>
            <w:tcW w:type="dxa" w:w="2592"/>
            <w:shd w:val="clear" w:color="auto" w:fill="F5F5F3"/>
          </w:tcPr>
          <w:p>
            <w:r>
              <w:rPr>
                <w:rFonts w:ascii="Times New Roman" w:hAnsi="Times New Roman"/>
                <w:sz w:val="20"/>
              </w:rPr>
              <w:t>Trade Compliance Specialist</w:t>
            </w:r>
          </w:p>
        </w:tc>
        <w:tc>
          <w:tcPr>
            <w:tcW w:type="dxa" w:w="4608"/>
            <w:shd w:val="clear" w:color="auto" w:fill="F5F5F3"/>
          </w:tcPr>
          <w:p>
            <w:r>
              <w:rPr>
                <w:rFonts w:ascii="Times New Roman" w:hAnsi="Times New Roman"/>
                <w:sz w:val="20"/>
              </w:rPr>
              <w:t>Drawback claims, classification review</w:t>
            </w:r>
          </w:p>
        </w:tc>
      </w:tr>
      <w:tr>
        <w:tc>
          <w:tcPr>
            <w:tcW w:type="dxa" w:w="2592"/>
            <w:shd w:val="clear" w:color="auto" w:fill="FFFFFF"/>
          </w:tcPr>
          <w:p>
            <w:r>
              <w:rPr>
                <w:rFonts w:ascii="Times New Roman" w:hAnsi="Times New Roman"/>
                <w:sz w:val="20"/>
              </w:rPr>
              <w:t>Diana Park</w:t>
            </w:r>
          </w:p>
        </w:tc>
        <w:tc>
          <w:tcPr>
            <w:tcW w:type="dxa" w:w="2592"/>
            <w:shd w:val="clear" w:color="auto" w:fill="FFFFFF"/>
          </w:tcPr>
          <w:p>
            <w:r>
              <w:rPr>
                <w:rFonts w:ascii="Times New Roman" w:hAnsi="Times New Roman"/>
                <w:sz w:val="20"/>
              </w:rPr>
              <w:t>Bookkeeper / Admin</w:t>
            </w:r>
          </w:p>
        </w:tc>
        <w:tc>
          <w:tcPr>
            <w:tcW w:type="dxa" w:w="4608"/>
            <w:shd w:val="clear" w:color="auto" w:fill="FFFFFF"/>
          </w:tcPr>
          <w:p>
            <w:r>
              <w:rPr>
                <w:rFonts w:ascii="Times New Roman" w:hAnsi="Times New Roman"/>
                <w:sz w:val="20"/>
              </w:rPr>
              <w:t>Invoicing, payroll, administrative support</w:t>
            </w:r>
          </w:p>
        </w:tc>
      </w:tr>
    </w:tbl>
    <w:p/>
    <w:p>
      <w:pPr>
        <w:pStyle w:val="Heading1"/>
      </w:pPr>
      <w:r>
        <w:rPr>
          <w:rFonts w:ascii="Times New Roman" w:hAnsi="Times New Roman"/>
          <w:color w:val="1C3557"/>
        </w:rPr>
        <w:t>4. YOUR FIRST THIRTY DAYS</w:t>
      </w:r>
    </w:p>
    <w:p>
      <w:pPr>
        <w:spacing w:after="120"/>
      </w:pPr>
      <w:r>
        <w:rPr>
          <w:rFonts w:ascii="Times New Roman" w:hAnsi="Times New Roman"/>
          <w:color w:val="1A1A1A"/>
          <w:sz w:val="22"/>
        </w:rPr>
        <w:t>The first month is about learning the firm's systems, clients, and filing procedures before you touch any client-facing work independently. The schedule below is the standard onboarding progression. Your supervisor will adjust it based on your background and the pace you demonstrate.</w:t>
      </w:r>
    </w:p>
    <w:tbl>
      <w:tblPr>
        <w:tblStyle w:val="TableGrid"/>
        <w:tblW w:type="auto" w:w="0"/>
        <w:tblLook w:firstColumn="1" w:firstRow="1" w:lastColumn="0" w:lastRow="0" w:noHBand="0" w:noVBand="1" w:val="04A0"/>
      </w:tblPr>
      <w:tblGrid>
        <w:gridCol w:w="2880"/>
        <w:gridCol w:w="2880"/>
        <w:gridCol w:w="2880"/>
      </w:tblGrid>
      <w:tr>
        <w:tc>
          <w:tcPr>
            <w:tcW w:type="dxa" w:w="1152"/>
            <w:shd w:val="clear" w:color="auto" w:fill="1C3557"/>
          </w:tcPr>
          <w:p>
            <w:r>
              <w:rPr>
                <w:rFonts w:ascii="Times New Roman" w:hAnsi="Times New Roman"/>
                <w:b/>
                <w:color w:val="FFFFFF"/>
                <w:sz w:val="20"/>
              </w:rPr>
              <w:t>Week</w:t>
            </w:r>
          </w:p>
        </w:tc>
        <w:tc>
          <w:tcPr>
            <w:tcW w:type="dxa" w:w="3168"/>
            <w:shd w:val="clear" w:color="auto" w:fill="1C3557"/>
          </w:tcPr>
          <w:p>
            <w:r>
              <w:rPr>
                <w:rFonts w:ascii="Times New Roman" w:hAnsi="Times New Roman"/>
                <w:b/>
                <w:color w:val="FFFFFF"/>
                <w:sz w:val="20"/>
              </w:rPr>
              <w:t>Focus Area</w:t>
            </w:r>
          </w:p>
        </w:tc>
        <w:tc>
          <w:tcPr>
            <w:tcW w:type="dxa" w:w="5328"/>
            <w:shd w:val="clear" w:color="auto" w:fill="1C3557"/>
          </w:tcPr>
          <w:p>
            <w:r>
              <w:rPr>
                <w:rFonts w:ascii="Times New Roman" w:hAnsi="Times New Roman"/>
                <w:b/>
                <w:color w:val="FFFFFF"/>
                <w:sz w:val="20"/>
              </w:rPr>
              <w:t>Key Deliverable</w:t>
            </w:r>
          </w:p>
        </w:tc>
      </w:tr>
      <w:tr>
        <w:tc>
          <w:tcPr>
            <w:tcW w:type="dxa" w:w="1152"/>
            <w:shd w:val="clear" w:color="auto" w:fill="F5F5F3"/>
          </w:tcPr>
          <w:p>
            <w:r>
              <w:rPr>
                <w:rFonts w:ascii="Times New Roman" w:hAnsi="Times New Roman"/>
                <w:sz w:val="20"/>
              </w:rPr>
              <w:t>Week 1</w:t>
            </w:r>
          </w:p>
        </w:tc>
        <w:tc>
          <w:tcPr>
            <w:tcW w:type="dxa" w:w="3168"/>
            <w:shd w:val="clear" w:color="auto" w:fill="F5F5F3"/>
          </w:tcPr>
          <w:p>
            <w:r>
              <w:rPr>
                <w:rFonts w:ascii="Times New Roman" w:hAnsi="Times New Roman"/>
                <w:sz w:val="20"/>
              </w:rPr>
              <w:t>Systems access and firm orientation</w:t>
            </w:r>
          </w:p>
        </w:tc>
        <w:tc>
          <w:tcPr>
            <w:tcW w:type="dxa" w:w="5328"/>
            <w:shd w:val="clear" w:color="auto" w:fill="F5F5F3"/>
          </w:tcPr>
          <w:p>
            <w:r>
              <w:rPr>
                <w:rFonts w:ascii="Times New Roman" w:hAnsi="Times New Roman"/>
                <w:sz w:val="20"/>
              </w:rPr>
              <w:t>Complete all logins; read x4.xlsx client roster</w:t>
            </w:r>
          </w:p>
        </w:tc>
      </w:tr>
      <w:tr>
        <w:tc>
          <w:tcPr>
            <w:tcW w:type="dxa" w:w="1152"/>
            <w:shd w:val="clear" w:color="auto" w:fill="FFFFFF"/>
          </w:tcPr>
          <w:p>
            <w:r>
              <w:rPr>
                <w:rFonts w:ascii="Times New Roman" w:hAnsi="Times New Roman"/>
                <w:sz w:val="20"/>
              </w:rPr>
              <w:t>Week 2</w:t>
            </w:r>
          </w:p>
        </w:tc>
        <w:tc>
          <w:tcPr>
            <w:tcW w:type="dxa" w:w="3168"/>
            <w:shd w:val="clear" w:color="auto" w:fill="FFFFFF"/>
          </w:tcPr>
          <w:p>
            <w:r>
              <w:rPr>
                <w:rFonts w:ascii="Times New Roman" w:hAnsi="Times New Roman"/>
                <w:sz w:val="20"/>
              </w:rPr>
              <w:t>TradeFlow Pro and CBP DOCS</w:t>
            </w:r>
          </w:p>
        </w:tc>
        <w:tc>
          <w:tcPr>
            <w:tcW w:type="dxa" w:w="5328"/>
            <w:shd w:val="clear" w:color="auto" w:fill="FFFFFF"/>
          </w:tcPr>
          <w:p>
            <w:r>
              <w:rPr>
                <w:rFonts w:ascii="Times New Roman" w:hAnsi="Times New Roman"/>
                <w:sz w:val="20"/>
              </w:rPr>
              <w:t>Navigate an existing filing in TradeFlow</w:t>
            </w:r>
          </w:p>
        </w:tc>
      </w:tr>
      <w:tr>
        <w:tc>
          <w:tcPr>
            <w:tcW w:type="dxa" w:w="1152"/>
            <w:shd w:val="clear" w:color="auto" w:fill="F5F5F3"/>
          </w:tcPr>
          <w:p>
            <w:r>
              <w:rPr>
                <w:rFonts w:ascii="Times New Roman" w:hAnsi="Times New Roman"/>
                <w:sz w:val="20"/>
              </w:rPr>
              <w:t>Week 3</w:t>
            </w:r>
          </w:p>
        </w:tc>
        <w:tc>
          <w:tcPr>
            <w:tcW w:type="dxa" w:w="3168"/>
            <w:shd w:val="clear" w:color="auto" w:fill="F5F5F3"/>
          </w:tcPr>
          <w:p>
            <w:r>
              <w:rPr>
                <w:rFonts w:ascii="Times New Roman" w:hAnsi="Times New Roman"/>
                <w:sz w:val="20"/>
              </w:rPr>
              <w:t>HTS classification fundamentals</w:t>
            </w:r>
          </w:p>
        </w:tc>
        <w:tc>
          <w:tcPr>
            <w:tcW w:type="dxa" w:w="5328"/>
            <w:shd w:val="clear" w:color="auto" w:fill="F5F5F3"/>
          </w:tcPr>
          <w:p>
            <w:r>
              <w:rPr>
                <w:rFonts w:ascii="Times New Roman" w:hAnsi="Times New Roman"/>
                <w:sz w:val="20"/>
              </w:rPr>
              <w:t>Classify three products under supervision</w:t>
            </w:r>
          </w:p>
        </w:tc>
      </w:tr>
      <w:tr>
        <w:tc>
          <w:tcPr>
            <w:tcW w:type="dxa" w:w="1152"/>
            <w:shd w:val="clear" w:color="auto" w:fill="FFFFFF"/>
          </w:tcPr>
          <w:p>
            <w:r>
              <w:rPr>
                <w:rFonts w:ascii="Times New Roman" w:hAnsi="Times New Roman"/>
                <w:sz w:val="20"/>
              </w:rPr>
              <w:t>Week 4</w:t>
            </w:r>
          </w:p>
        </w:tc>
        <w:tc>
          <w:tcPr>
            <w:tcW w:type="dxa" w:w="3168"/>
            <w:shd w:val="clear" w:color="auto" w:fill="FFFFFF"/>
          </w:tcPr>
          <w:p>
            <w:r>
              <w:rPr>
                <w:rFonts w:ascii="Times New Roman" w:hAnsi="Times New Roman"/>
                <w:sz w:val="20"/>
              </w:rPr>
              <w:t>USMCA certificate preparation</w:t>
            </w:r>
          </w:p>
        </w:tc>
        <w:tc>
          <w:tcPr>
            <w:tcW w:type="dxa" w:w="5328"/>
            <w:shd w:val="clear" w:color="auto" w:fill="FFFFFF"/>
          </w:tcPr>
          <w:p>
            <w:r>
              <w:rPr>
                <w:rFonts w:ascii="Times New Roman" w:hAnsi="Times New Roman"/>
                <w:sz w:val="20"/>
              </w:rPr>
              <w:t>Draft a CO under specialist review</w:t>
            </w:r>
          </w:p>
        </w:tc>
      </w:tr>
    </w:tbl>
    <w:p/>
    <w:p>
      <w:pPr>
        <w:pStyle w:val="Heading1"/>
      </w:pPr>
      <w:r>
        <w:rPr>
          <w:rFonts w:ascii="Times New Roman" w:hAnsi="Times New Roman"/>
          <w:color w:val="1C3557"/>
        </w:rPr>
        <w:t>5. FILING STANDARDS AND QUALITY EXPECTATIONS</w:t>
      </w:r>
    </w:p>
    <w:p>
      <w:pPr>
        <w:spacing w:after="120"/>
      </w:pPr>
      <w:r>
        <w:rPr>
          <w:rFonts w:ascii="Times New Roman" w:hAnsi="Times New Roman"/>
          <w:color w:val="1A1A1A"/>
          <w:sz w:val="22"/>
        </w:rPr>
        <w:t>Every document that leaves this firm under our name or license number must be accurate and complete. There is no such thing as a draft that is good enough to submit without a second review. The standard review process is:</w:t>
      </w:r>
    </w:p>
    <w:p>
      <w:pPr>
        <w:pStyle w:val="ListBullet"/>
      </w:pPr>
      <w:r>
        <w:rPr>
          <w:rFonts w:ascii="Times New Roman" w:hAnsi="Times New Roman"/>
          <w:sz w:val="22"/>
        </w:rPr>
        <w:t>Preparer completes the document and runs a self-check against the source data.</w:t>
      </w:r>
    </w:p>
    <w:p>
      <w:pPr>
        <w:pStyle w:val="ListBullet"/>
      </w:pPr>
      <w:r>
        <w:rPr>
          <w:rFonts w:ascii="Times New Roman" w:hAnsi="Times New Roman"/>
          <w:sz w:val="22"/>
        </w:rPr>
        <w:t>A second team member reviews the classification, values, and party information.</w:t>
      </w:r>
    </w:p>
    <w:p>
      <w:pPr>
        <w:pStyle w:val="ListBullet"/>
      </w:pPr>
      <w:r>
        <w:rPr>
          <w:rFonts w:ascii="Times New Roman" w:hAnsi="Times New Roman"/>
          <w:sz w:val="22"/>
        </w:rPr>
        <w:t>The principal or a licensed specialist signs off on any Certificate of Origin or drawback claim before it is submitted to CBP.</w:t>
      </w:r>
    </w:p>
    <w:p>
      <w:pPr>
        <w:pStyle w:val="ListBullet"/>
      </w:pPr>
      <w:r>
        <w:rPr>
          <w:rFonts w:ascii="Times New Roman" w:hAnsi="Times New Roman"/>
          <w:sz w:val="22"/>
        </w:rPr>
        <w:t>All submissions are logged in TradeFlow Pro with the entry number, client, and submitter name.</w:t>
      </w:r>
    </w:p>
    <w:p>
      <w:pPr>
        <w:pStyle w:val="Heading1"/>
      </w:pPr>
      <w:r>
        <w:rPr>
          <w:rFonts w:ascii="Times New Roman" w:hAnsi="Times New Roman"/>
          <w:color w:val="1C3557"/>
        </w:rPr>
        <w:t>6. COMMUNICATION PROTOCOLS</w:t>
      </w:r>
    </w:p>
    <w:p>
      <w:pPr>
        <w:spacing w:after="120"/>
      </w:pPr>
      <w:r>
        <w:rPr>
          <w:rFonts w:ascii="Times New Roman" w:hAnsi="Times New Roman"/>
          <w:color w:val="1A1A1A"/>
          <w:sz w:val="22"/>
        </w:rPr>
        <w:t>Client communication: All written communication with clients goes through the firm email domain. Do not use personal email accounts for any firm business. Phone calls with clients are logged in TradeFlow Pro the same day.</w:t>
      </w:r>
    </w:p>
    <w:p>
      <w:pPr>
        <w:spacing w:after="120"/>
      </w:pPr>
      <w:r>
        <w:rPr>
          <w:rFonts w:ascii="Times New Roman" w:hAnsi="Times New Roman"/>
          <w:color w:val="1A1A1A"/>
          <w:sz w:val="22"/>
        </w:rPr>
        <w:t>Internal communication: The firm uses Microsoft Teams for internal messaging. Urgent items for Patricia Delgado should be flagged in Teams or in person. For anything requiring the principal's decision, put it in writing in Teams or email with a clear subject line and the information needed to decide. Do not stop by and ask verbally for a decision on anything you will need a record of later.</w:t>
      </w:r>
    </w:p>
    <w:p>
      <w:pPr>
        <w:spacing w:after="120"/>
      </w:pPr>
      <w:r>
        <w:rPr>
          <w:rFonts w:ascii="Times New Roman" w:hAnsi="Times New Roman"/>
          <w:color w:val="1A1A1A"/>
          <w:sz w:val="22"/>
        </w:rPr>
        <w:t>Government agencies: Only the licensed principal communicates with CBP, the ITC, or any other government agency on firm business. If you receive a government inquiry, bring it to the principal immediately without responding.</w:t>
      </w:r>
    </w:p>
    <w:p>
      <w:pPr>
        <w:pStyle w:val="Heading1"/>
      </w:pPr>
      <w:r>
        <w:rPr>
          <w:rFonts w:ascii="Times New Roman" w:hAnsi="Times New Roman"/>
          <w:color w:val="1C3557"/>
        </w:rPr>
        <w:t>7. WORK HOURS AND SCHEDULE</w:t>
      </w:r>
    </w:p>
    <w:p>
      <w:pPr>
        <w:spacing w:after="120"/>
      </w:pPr>
      <w:r>
        <w:rPr>
          <w:rFonts w:ascii="Times New Roman" w:hAnsi="Times New Roman"/>
          <w:color w:val="1A1A1A"/>
          <w:sz w:val="22"/>
        </w:rPr>
        <w:t>Standard office hours are 8:00 AM to 5:30 PM, Monday through Friday. The firm observes all federal holidays and the last week of December. Flexible scheduling can be arranged with the office manager for individual circumstances. Q4 is the firm's heaviest period as clients close out annual import schedules. Plan for reduced flexibility between October and mid-December. Tariff announcements can create short-notice surge demands at any time of year. When that happens, we handle it as a team.</w:t>
      </w:r>
    </w:p>
    <w:p>
      <w:pPr>
        <w:pStyle w:val="Heading1"/>
      </w:pPr>
      <w:r>
        <w:rPr>
          <w:rFonts w:ascii="Times New Roman" w:hAnsi="Times New Roman"/>
          <w:color w:val="1C3557"/>
        </w:rPr>
        <w:t>8. CONFIDENTIALITY AND DATA HANDLING</w:t>
      </w:r>
    </w:p>
    <w:p>
      <w:pPr>
        <w:spacing w:after="120"/>
      </w:pPr>
      <w:r>
        <w:rPr>
          <w:rFonts w:ascii="Times New Roman" w:hAnsi="Times New Roman"/>
          <w:color w:val="1A1A1A"/>
          <w:sz w:val="22"/>
        </w:rPr>
        <w:t>Client information is confidential. That includes client names, trade strategies, supplier data, tariff positions, and import/export volumes. You do not discuss client business outside the firm, including with family. You do not store client files on personal devices. All work product belongs to the firm and to the client for whom it was produced. The confidentiality obligation continues after you leave the firm, consistent with Ohio trade secret law.</w:t>
      </w:r>
    </w:p>
    <w:p>
      <w:pPr>
        <w:pStyle w:val="Heading1"/>
      </w:pPr>
      <w:r>
        <w:rPr>
          <w:rFonts w:ascii="Times New Roman" w:hAnsi="Times New Roman"/>
          <w:color w:val="1C3557"/>
        </w:rPr>
        <w:t>9. SYSTEMS AND ACCESS</w:t>
      </w:r>
    </w:p>
    <w:tbl>
      <w:tblPr>
        <w:tblStyle w:val="TableGrid"/>
        <w:tblW w:type="auto" w:w="0"/>
        <w:tblLook w:firstColumn="1" w:firstRow="1" w:lastColumn="0" w:lastRow="0" w:noHBand="0" w:noVBand="1" w:val="04A0"/>
      </w:tblPr>
      <w:tblGrid>
        <w:gridCol w:w="2880"/>
        <w:gridCol w:w="2880"/>
        <w:gridCol w:w="2880"/>
      </w:tblGrid>
      <w:tr>
        <w:tc>
          <w:tcPr>
            <w:tcW w:type="dxa" w:w="2592"/>
            <w:shd w:val="clear" w:color="auto" w:fill="1C3557"/>
          </w:tcPr>
          <w:p>
            <w:r>
              <w:rPr>
                <w:rFonts w:ascii="Times New Roman" w:hAnsi="Times New Roman"/>
                <w:b/>
                <w:color w:val="FFFFFF"/>
                <w:sz w:val="20"/>
              </w:rPr>
              <w:t>System</w:t>
            </w:r>
          </w:p>
        </w:tc>
        <w:tc>
          <w:tcPr>
            <w:tcW w:type="dxa" w:w="4032"/>
            <w:shd w:val="clear" w:color="auto" w:fill="1C3557"/>
          </w:tcPr>
          <w:p>
            <w:r>
              <w:rPr>
                <w:rFonts w:ascii="Times New Roman" w:hAnsi="Times New Roman"/>
                <w:b/>
                <w:color w:val="FFFFFF"/>
                <w:sz w:val="20"/>
              </w:rPr>
              <w:t>Purpose</w:t>
            </w:r>
          </w:p>
        </w:tc>
        <w:tc>
          <w:tcPr>
            <w:tcW w:type="dxa" w:w="2592"/>
            <w:shd w:val="clear" w:color="auto" w:fill="1C3557"/>
          </w:tcPr>
          <w:p>
            <w:r>
              <w:rPr>
                <w:rFonts w:ascii="Times New Roman" w:hAnsi="Times New Roman"/>
                <w:b/>
                <w:color w:val="FFFFFF"/>
                <w:sz w:val="20"/>
              </w:rPr>
              <w:t>Access Granted By</w:t>
            </w:r>
          </w:p>
        </w:tc>
      </w:tr>
      <w:tr>
        <w:tc>
          <w:tcPr>
            <w:tcW w:type="dxa" w:w="2592"/>
            <w:shd w:val="clear" w:color="auto" w:fill="F5F5F3"/>
          </w:tcPr>
          <w:p>
            <w:r>
              <w:rPr>
                <w:rFonts w:ascii="Times New Roman" w:hAnsi="Times New Roman"/>
                <w:sz w:val="20"/>
              </w:rPr>
              <w:t>TradeFlow Pro</w:t>
            </w:r>
          </w:p>
        </w:tc>
        <w:tc>
          <w:tcPr>
            <w:tcW w:type="dxa" w:w="4032"/>
            <w:shd w:val="clear" w:color="auto" w:fill="F5F5F3"/>
          </w:tcPr>
          <w:p>
            <w:r>
              <w:rPr>
                <w:rFonts w:ascii="Times New Roman" w:hAnsi="Times New Roman"/>
                <w:sz w:val="20"/>
              </w:rPr>
              <w:t>Case management and filing documentation</w:t>
            </w:r>
          </w:p>
        </w:tc>
        <w:tc>
          <w:tcPr>
            <w:tcW w:type="dxa" w:w="2592"/>
            <w:shd w:val="clear" w:color="auto" w:fill="F5F5F3"/>
          </w:tcPr>
          <w:p>
            <w:r>
              <w:rPr>
                <w:rFonts w:ascii="Times New Roman" w:hAnsi="Times New Roman"/>
                <w:sz w:val="20"/>
              </w:rPr>
              <w:t>Patricia Delgado</w:t>
            </w:r>
          </w:p>
        </w:tc>
      </w:tr>
      <w:tr>
        <w:tc>
          <w:tcPr>
            <w:tcW w:type="dxa" w:w="2592"/>
            <w:shd w:val="clear" w:color="auto" w:fill="FFFFFF"/>
          </w:tcPr>
          <w:p>
            <w:r>
              <w:rPr>
                <w:rFonts w:ascii="Times New Roman" w:hAnsi="Times New Roman"/>
                <w:sz w:val="20"/>
              </w:rPr>
              <w:t>CBP ACE Portal</w:t>
            </w:r>
          </w:p>
        </w:tc>
        <w:tc>
          <w:tcPr>
            <w:tcW w:type="dxa" w:w="4032"/>
            <w:shd w:val="clear" w:color="auto" w:fill="FFFFFF"/>
          </w:tcPr>
          <w:p>
            <w:r>
              <w:rPr>
                <w:rFonts w:ascii="Times New Roman" w:hAnsi="Times New Roman"/>
                <w:sz w:val="20"/>
              </w:rPr>
              <w:t>Customs entry submission and tracking</w:t>
            </w:r>
          </w:p>
        </w:tc>
        <w:tc>
          <w:tcPr>
            <w:tcW w:type="dxa" w:w="2592"/>
            <w:shd w:val="clear" w:color="auto" w:fill="FFFFFF"/>
          </w:tcPr>
          <w:p>
            <w:r>
              <w:rPr>
                <w:rFonts w:ascii="Times New Roman" w:hAnsi="Times New Roman"/>
                <w:sz w:val="20"/>
              </w:rPr>
              <w:t>Patricia Delgado</w:t>
            </w:r>
          </w:p>
        </w:tc>
      </w:tr>
      <w:tr>
        <w:tc>
          <w:tcPr>
            <w:tcW w:type="dxa" w:w="2592"/>
            <w:shd w:val="clear" w:color="auto" w:fill="F5F5F3"/>
          </w:tcPr>
          <w:p>
            <w:r>
              <w:rPr>
                <w:rFonts w:ascii="Times New Roman" w:hAnsi="Times New Roman"/>
                <w:sz w:val="20"/>
              </w:rPr>
              <w:t>Microsoft 365 / Teams</w:t>
            </w:r>
          </w:p>
        </w:tc>
        <w:tc>
          <w:tcPr>
            <w:tcW w:type="dxa" w:w="4032"/>
            <w:shd w:val="clear" w:color="auto" w:fill="F5F5F3"/>
          </w:tcPr>
          <w:p>
            <w:r>
              <w:rPr>
                <w:rFonts w:ascii="Times New Roman" w:hAnsi="Times New Roman"/>
                <w:sz w:val="20"/>
              </w:rPr>
              <w:t>Email, messaging, file sharing</w:t>
            </w:r>
          </w:p>
        </w:tc>
        <w:tc>
          <w:tcPr>
            <w:tcW w:type="dxa" w:w="2592"/>
            <w:shd w:val="clear" w:color="auto" w:fill="F5F5F3"/>
          </w:tcPr>
          <w:p>
            <w:r>
              <w:rPr>
                <w:rFonts w:ascii="Times New Roman" w:hAnsi="Times New Roman"/>
                <w:sz w:val="20"/>
              </w:rPr>
              <w:t>Patricia Delgado</w:t>
            </w:r>
          </w:p>
        </w:tc>
      </w:tr>
      <w:tr>
        <w:tc>
          <w:tcPr>
            <w:tcW w:type="dxa" w:w="2592"/>
            <w:shd w:val="clear" w:color="auto" w:fill="FFFFFF"/>
          </w:tcPr>
          <w:p>
            <w:r>
              <w:rPr>
                <w:rFonts w:ascii="Times New Roman" w:hAnsi="Times New Roman"/>
                <w:sz w:val="20"/>
              </w:rPr>
              <w:t>Midwest Commerce Bank Online</w:t>
            </w:r>
          </w:p>
        </w:tc>
        <w:tc>
          <w:tcPr>
            <w:tcW w:type="dxa" w:w="4032"/>
            <w:shd w:val="clear" w:color="auto" w:fill="FFFFFF"/>
          </w:tcPr>
          <w:p>
            <w:r>
              <w:rPr>
                <w:rFonts w:ascii="Times New Roman" w:hAnsi="Times New Roman"/>
                <w:sz w:val="20"/>
              </w:rPr>
              <w:t>Expense reporting only (read access)</w:t>
            </w:r>
          </w:p>
        </w:tc>
        <w:tc>
          <w:tcPr>
            <w:tcW w:type="dxa" w:w="2592"/>
            <w:shd w:val="clear" w:color="auto" w:fill="FFFFFF"/>
          </w:tcPr>
          <w:p>
            <w:r>
              <w:rPr>
                <w:rFonts w:ascii="Times New Roman" w:hAnsi="Times New Roman"/>
                <w:sz w:val="20"/>
              </w:rPr>
              <w:t>Patricia Delgado</w:t>
            </w:r>
          </w:p>
        </w:tc>
      </w:tr>
      <w:tr>
        <w:tc>
          <w:tcPr>
            <w:tcW w:type="dxa" w:w="2592"/>
            <w:shd w:val="clear" w:color="auto" w:fill="F5F5F3"/>
          </w:tcPr>
          <w:p>
            <w:r>
              <w:rPr>
                <w:rFonts w:ascii="Times New Roman" w:hAnsi="Times New Roman"/>
                <w:sz w:val="20"/>
              </w:rPr>
              <w:t>LinkedIn (firm page)</w:t>
            </w:r>
          </w:p>
        </w:tc>
        <w:tc>
          <w:tcPr>
            <w:tcW w:type="dxa" w:w="4032"/>
            <w:shd w:val="clear" w:color="auto" w:fill="F5F5F3"/>
          </w:tcPr>
          <w:p>
            <w:r>
              <w:rPr>
                <w:rFonts w:ascii="Times New Roman" w:hAnsi="Times New Roman"/>
                <w:sz w:val="20"/>
              </w:rPr>
              <w:t>External communications only, as directed</w:t>
            </w:r>
          </w:p>
        </w:tc>
        <w:tc>
          <w:tcPr>
            <w:tcW w:type="dxa" w:w="2592"/>
            <w:shd w:val="clear" w:color="auto" w:fill="F5F5F3"/>
          </w:tcPr>
          <w:p>
            <w:r>
              <w:rPr>
                <w:rFonts w:ascii="Times New Roman" w:hAnsi="Times New Roman"/>
                <w:sz w:val="20"/>
              </w:rPr>
              <w:t>Jason Robert Kim</w:t>
            </w:r>
          </w:p>
        </w:tc>
      </w:tr>
    </w:tbl>
    <w:p>
      <w:pPr>
        <w:spacing w:after="120"/>
      </w:pPr>
      <w:r>
        <w:rPr>
          <w:rFonts w:ascii="Times New Roman" w:hAnsi="Times New Roman"/>
          <w:color w:val="1A1A1A"/>
          <w:sz w:val="22"/>
        </w:rPr>
        <w:br/>
        <w:t>All access credentials are issued by the office manager. Do not share passwords.</w:t>
      </w:r>
    </w:p>
    <w:p>
      <w:pPr>
        <w:pStyle w:val="Heading1"/>
      </w:pPr>
      <w:r>
        <w:rPr>
          <w:rFonts w:ascii="Times New Roman" w:hAnsi="Times New Roman"/>
          <w:color w:val="1C3557"/>
        </w:rPr>
        <w:t>10. PROFESSIONAL DEVELOPMENT</w:t>
      </w:r>
    </w:p>
    <w:p>
      <w:pPr>
        <w:spacing w:after="120"/>
      </w:pPr>
      <w:r>
        <w:rPr>
          <w:rFonts w:ascii="Times New Roman" w:hAnsi="Times New Roman"/>
          <w:color w:val="1A1A1A"/>
          <w:sz w:val="22"/>
        </w:rPr>
        <w:t>The firm supports staff pursuing the Certified Trade Specialist (CTS) credential through the Trade Certification Academy. Study materials are available in the firm library. Exam fees are reimbursed upon passing. Jason Kim co-founded the Columbus Trade Mentorship Program with Ryan Montoya of Montoya Logistics. New staff are encouraged to participate as mentees in their first year. Details are in d2.docx.</w:t>
      </w:r>
    </w:p>
    <w:p>
      <w:pPr>
        <w:pStyle w:val="Heading1"/>
      </w:pPr>
      <w:r>
        <w:rPr>
          <w:rFonts w:ascii="Times New Roman" w:hAnsi="Times New Roman"/>
          <w:color w:val="1C3557"/>
        </w:rPr>
        <w:t>11. EXPENSE AND REIMBURSEMENT POLICY</w:t>
      </w:r>
    </w:p>
    <w:p>
      <w:pPr>
        <w:spacing w:after="120"/>
      </w:pPr>
      <w:r>
        <w:rPr>
          <w:rFonts w:ascii="Times New Roman" w:hAnsi="Times New Roman"/>
          <w:color w:val="1A1A1A"/>
          <w:sz w:val="22"/>
        </w:rPr>
        <w:t>Business expenses require a receipt and prior approval for amounts above $50.00. Submit expense reports to the office manager by the last business day of each month. Travel reimbursement follows IRS mileage rates for personal vehicle use. Client entertainment requires pre-approval from the principal. No alcohol expenses are submitted to the firm without the principal's prior written approval.</w:t>
      </w:r>
    </w:p>
    <w:p>
      <w:pPr>
        <w:pStyle w:val="Heading1"/>
      </w:pPr>
      <w:r>
        <w:rPr>
          <w:rFonts w:ascii="Times New Roman" w:hAnsi="Times New Roman"/>
          <w:color w:val="1C3557"/>
        </w:rPr>
        <w:t>12. ACKNOWLEDGMENT</w:t>
      </w:r>
    </w:p>
    <w:p>
      <w:pPr>
        <w:spacing w:after="120"/>
      </w:pPr>
      <w:r>
        <w:rPr>
          <w:rFonts w:ascii="Times New Roman" w:hAnsi="Times New Roman"/>
          <w:color w:val="1A1A1A"/>
          <w:sz w:val="22"/>
        </w:rPr>
        <w:t>By signing below, the new employee confirms that they have received, read, and understood the contents of this onboarding guide and agree to comply with all policies and standards described herein.</w:t>
      </w:r>
    </w:p>
    <w:p/>
    <w:tbl>
      <w:tblPr>
        <w:tblStyle w:val="TableGrid"/>
        <w:tblW w:type="auto" w:w="0"/>
        <w:tblLook w:firstColumn="1" w:firstRow="1" w:lastColumn="0" w:lastRow="0" w:noHBand="0" w:noVBand="1" w:val="04A0"/>
      </w:tblPr>
      <w:tblGrid>
        <w:gridCol w:w="4320"/>
        <w:gridCol w:w="4320"/>
      </w:tblGrid>
      <w:tr>
        <w:tc>
          <w:tcPr>
            <w:tcW w:type="dxa" w:w="3600"/>
            <w:shd w:val="clear" w:color="auto" w:fill="1C3557"/>
          </w:tcPr>
          <w:p>
            <w:r>
              <w:rPr>
                <w:rFonts w:ascii="Times New Roman" w:hAnsi="Times New Roman"/>
                <w:b/>
                <w:color w:val="FFFFFF"/>
                <w:sz w:val="20"/>
              </w:rPr>
              <w:t>Field</w:t>
            </w:r>
          </w:p>
        </w:tc>
        <w:tc>
          <w:tcPr>
            <w:tcW w:type="dxa" w:w="6048"/>
            <w:shd w:val="clear" w:color="auto" w:fill="1C3557"/>
          </w:tcPr>
          <w:p>
            <w:r>
              <w:rPr>
                <w:rFonts w:ascii="Times New Roman" w:hAnsi="Times New Roman"/>
                <w:b/>
                <w:color w:val="FFFFFF"/>
                <w:sz w:val="20"/>
              </w:rPr>
            </w:r>
          </w:p>
        </w:tc>
      </w:tr>
      <w:tr>
        <w:tc>
          <w:tcPr>
            <w:tcW w:type="dxa" w:w="3600"/>
            <w:shd w:val="clear" w:color="auto" w:fill="F5F5F3"/>
          </w:tcPr>
          <w:p>
            <w:r>
              <w:rPr>
                <w:rFonts w:ascii="Times New Roman" w:hAnsi="Times New Roman"/>
                <w:sz w:val="20"/>
              </w:rPr>
              <w:t>Employee Name:</w:t>
            </w:r>
          </w:p>
        </w:tc>
        <w:tc>
          <w:tcPr>
            <w:tcW w:type="dxa" w:w="6048"/>
            <w:shd w:val="clear" w:color="auto" w:fill="F5F5F3"/>
          </w:tcPr>
          <w:p>
            <w:r>
              <w:rPr>
                <w:rFonts w:ascii="Times New Roman" w:hAnsi="Times New Roman"/>
                <w:sz w:val="20"/>
              </w:rPr>
            </w:r>
          </w:p>
        </w:tc>
      </w:tr>
      <w:tr>
        <w:tc>
          <w:tcPr>
            <w:tcW w:type="dxa" w:w="3600"/>
            <w:shd w:val="clear" w:color="auto" w:fill="FFFFFF"/>
          </w:tcPr>
          <w:p>
            <w:r>
              <w:rPr>
                <w:rFonts w:ascii="Times New Roman" w:hAnsi="Times New Roman"/>
                <w:sz w:val="20"/>
              </w:rPr>
              <w:t>Employee Signature:</w:t>
            </w:r>
          </w:p>
        </w:tc>
        <w:tc>
          <w:tcPr>
            <w:tcW w:type="dxa" w:w="6048"/>
            <w:shd w:val="clear" w:color="auto" w:fill="FFFFFF"/>
          </w:tcPr>
          <w:p>
            <w:r>
              <w:rPr>
                <w:rFonts w:ascii="Times New Roman" w:hAnsi="Times New Roman"/>
                <w:sz w:val="20"/>
              </w:rPr>
            </w:r>
          </w:p>
        </w:tc>
      </w:tr>
      <w:tr>
        <w:tc>
          <w:tcPr>
            <w:tcW w:type="dxa" w:w="3600"/>
            <w:shd w:val="clear" w:color="auto" w:fill="F5F5F3"/>
          </w:tcPr>
          <w:p>
            <w:r>
              <w:rPr>
                <w:rFonts w:ascii="Times New Roman" w:hAnsi="Times New Roman"/>
                <w:sz w:val="20"/>
              </w:rPr>
              <w:t>Date:</w:t>
            </w:r>
          </w:p>
        </w:tc>
        <w:tc>
          <w:tcPr>
            <w:tcW w:type="dxa" w:w="6048"/>
            <w:shd w:val="clear" w:color="auto" w:fill="F5F5F3"/>
          </w:tcPr>
          <w:p>
            <w:r>
              <w:rPr>
                <w:rFonts w:ascii="Times New Roman" w:hAnsi="Times New Roman"/>
                <w:sz w:val="20"/>
              </w:rPr>
            </w:r>
          </w:p>
        </w:tc>
      </w:tr>
      <w:tr>
        <w:tc>
          <w:tcPr>
            <w:tcW w:type="dxa" w:w="3600"/>
            <w:shd w:val="clear" w:color="auto" w:fill="FFFFFF"/>
          </w:tcPr>
          <w:p>
            <w:r>
              <w:rPr>
                <w:rFonts w:ascii="Times New Roman" w:hAnsi="Times New Roman"/>
                <w:sz w:val="20"/>
              </w:rPr>
              <w:t>Manager Witness (Pat Delgado):</w:t>
            </w:r>
          </w:p>
        </w:tc>
        <w:tc>
          <w:tcPr>
            <w:tcW w:type="dxa" w:w="6048"/>
            <w:shd w:val="clear" w:color="auto" w:fill="FFFFFF"/>
          </w:tcPr>
          <w:p>
            <w:r>
              <w:rPr>
                <w:rFonts w:ascii="Times New Roman" w:hAnsi="Times New Roman"/>
                <w:sz w:val="20"/>
              </w:rP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