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pPr><w:r><w:rPr><w:rFonts w:ascii="Times New Roman" w:hAnsi="Times New Roman"/><w:color w:val="1C3557"/></w:rPr><w:t>COLUMBUS TRADE MENTORSHIP PROGRAM</w:t></w:r></w:p><w:p><w:pPr><w:pStyle w:val="Heading1"/></w:pPr><w:r><w:rPr><w:rFonts w:ascii="Times New Roman" w:hAnsi="Times New Roman"/><w:color w:val="1C3557"/></w:rPr><w:t>Annual Program Summary, 2025 Cohort</w:t></w:r></w:p><w:p><w:pPr><w:spacing w:after="120"/></w:pPr><w:r><w:rPr><w:rFonts w:ascii="Times New Roman" w:hAnsi="Times New Roman"/><w:color w:val="1A1A1A"/><w:sz w:val="22"/></w:rPr><w:t>Prepared by: Jason Robert Kim, Kim Trade Services, and Ryan Montoya, Montoya Logistics | Report Date: January 15, 2026</w:t></w:r></w:p><w:p/><w:p><w:pPr><w:pStyle w:val="Heading1"/></w:pPr><w:r><w:rPr><w:rFonts w:ascii="Times New Roman" w:hAnsi="Times New Roman"/><w:color w:val="1C3557"/></w:rPr><w:t>1. PROGRAM OVERVIEW</w:t></w:r></w:p><w:p><w:pPr><w:spacing w:after="120"/></w:pPr><w:r><w:rPr><w:rFonts w:ascii="Times New Roman" w:hAnsi="Times New Roman"/><w:color w:val="1A1A1A"/><w:sz w:val="22"/></w:rPr><w:t>The Columbus Trade Mentorship Program was co-founded in 2019 by Jason Robert Kim and Ryan Montoya to address a gap in structured mentorship for early-career trade and logistics professionals in Central Ohio. The program pairs experienced industry practitioners with participants in their first three years of the field, providing six months of structured one-on-one guidance, group sessions, and exposure to the Columbus Trade Association's professional network.</w:t></w:r></w:p><w:p><w:pPr><w:spacing w:after="120"/></w:pPr><w:r><w:rPr><w:rFonts w:ascii="Times New Roman" w:hAnsi="Times New Roman"/><w:color w:val="1A1A1A"/><w:sz w:val="22"/></w:rPr><w:t>The program operates on an annual cohort model, with applications opening in September and the cohort running from January through June. It is administered jointly by Kim Trade Services and Montoya Logistics, with administrative support from the Columbus Trade Association. Costs are kept low by design: mentors volunteer their time, and the only direct expenses are printed materials, venue fees for group sessions, and the end-of-cohort reception.</w:t></w:r></w:p><w:p><w:pPr><w:pStyle w:val="Heading1"/></w:pPr><w:r><w:rPr><w:rFonts w:ascii="Times New Roman" w:hAnsi="Times New Roman"/><w:color w:val="1C3557"/></w:rPr><w:t>2. 2025 COHORT SUMMARY</w:t></w:r></w:p><w:p><w:pPr><w:spacing w:after="120"/></w:pPr><w:r><w:rPr><w:rFonts w:ascii="Times New Roman" w:hAnsi="Times New Roman"/><w:color w:val="1A1A1A"/><w:sz w:val="22"/></w:rPr><w:t>The 2025 cohort ran from January 2025 through June 2025 and included eleven participants matched with nine mentors. This was the program's seventh year of operation and the largest cohort to date.</w:t></w:r></w:p><w:tbl><w:tblPr><w:tblStyle w:val="TableGrid"/><w:tblW w:type="auto" w:w="0"/><w:tblLook w:firstColumn="1" w:firstRow="1" w:lastColumn="0" w:lastRow="0" w:noHBand="0" w:noVBand="1" w:val="04A0"/></w:tblPr><w:tblGrid><w:gridCol w:w="2160"/><w:gridCol w:w="2160"/><w:gridCol w:w="2160"/><w:gridCol w:w="2160"/></w:tblGrid><w:tr><w:tc><w:tcPr><w:tcW w:type="dxa" w:w="3744"/><w:shd w:val="clear" w:color="auto" w:fill="1C3557"/></w:tcPr><w:p><w:r><w:rPr><w:rFonts w:ascii="Times New Roman" w:hAnsi="Times New Roman"/><w:b/><w:color w:val="FFFFFF"/><w:sz w:val="20"/></w:rPr><w:t>Metric</w:t></w:r></w:p></w:tc><w:tc><w:tcPr><w:tcW w:type="dxa" w:w="1728"/><w:shd w:val="clear" w:color="auto" w:fill="1C3557"/></w:tcPr><w:p><w:r><w:rPr><w:rFonts w:ascii="Times New Roman" w:hAnsi="Times New Roman"/><w:b/><w:color w:val="FFFFFF"/><w:sz w:val="20"/></w:rPr><w:t>2025 Value</w:t></w:r></w:p></w:tc><w:tc><w:tcPr><w:tcW w:type="dxa" w:w="1728"/><w:shd w:val="clear" w:color="auto" w:fill="1C3557"/></w:tcPr><w:p><w:r><w:rPr><w:rFonts w:ascii="Times New Roman" w:hAnsi="Times New Roman"/><w:b/><w:color w:val="FFFFFF"/><w:sz w:val="20"/></w:rPr><w:t>2024 Value</w:t></w:r></w:p></w:tc><w:tc><w:tcPr><w:tcW w:type="dxa" w:w="1728"/><w:shd w:val="clear" w:color="auto" w:fill="1C3557"/></w:tcPr><w:p><w:r><w:rPr><w:rFonts w:ascii="Times New Roman" w:hAnsi="Times New Roman"/><w:b/><w:color w:val="FFFFFF"/><w:sz w:val="20"/></w:rPr><w:t>Change</w:t></w:r></w:p></w:tc></w:tr><w:tr><w:tc><w:tcPr><w:tcW w:type="dxa" w:w="3744"/><w:shd w:val="clear" w:color="auto" w:fill="F5F5F3"/></w:tcPr><w:p><w:r><w:rPr><w:rFonts w:ascii="Times New Roman" w:hAnsi="Times New Roman"/><w:sz w:val="20"/></w:rPr><w:t>Total participants</w:t></w:r></w:p></w:tc><w:tc><w:tcPr><w:tcW w:type="dxa" w:w="1728"/><w:shd w:val="clear" w:color="auto" w:fill="F5F5F3"/></w:tcPr><w:p><w:r><w:rPr><w:rFonts w:ascii="Times New Roman" w:hAnsi="Times New Roman"/><w:sz w:val="20"/></w:rPr><w:t>11</w:t></w:r></w:p></w:tc><w:tc><w:tcPr><w:tcW w:type="dxa" w:w="1728"/><w:shd w:val="clear" w:color="auto" w:fill="F5F5F3"/></w:tcPr><w:p><w:r><w:rPr><w:rFonts w:ascii="Times New Roman" w:hAnsi="Times New Roman"/><w:sz w:val="20"/></w:rPr><w:t>9</w:t></w:r></w:p></w:tc><w:tc><w:tcPr><w:tcW w:type="dxa" w:w="1728"/><w:shd w:val="clear" w:color="auto" w:fill="F5F5F3"/></w:tcPr><w:p><w:r><w:rPr><w:rFonts w:ascii="Times New Roman" w:hAnsi="Times New Roman"/><w:sz w:val="20"/></w:rPr><w:t>+2</w:t></w:r></w:p></w:tc></w:tr><w:tr><w:tc><w:tcPr><w:tcW w:type="dxa" w:w="3744"/><w:shd w:val="clear" w:color="auto" w:fill="FFFFFF"/></w:tcPr><w:p><w:r><w:rPr><w:rFonts w:ascii="Times New Roman" w:hAnsi="Times New Roman"/><w:sz w:val="20"/></w:rPr><w:t>Total mentors</w:t></w:r></w:p></w:tc><w:tc><w:tcPr><w:tcW w:type="dxa" w:w="1728"/><w:shd w:val="clear" w:color="auto" w:fill="FFFFFF"/></w:tcPr><w:p><w:r><w:rPr><w:rFonts w:ascii="Times New Roman" w:hAnsi="Times New Roman"/><w:sz w:val="20"/></w:rPr><w:t>9</w:t></w:r></w:p></w:tc><w:tc><w:tcPr><w:tcW w:type="dxa" w:w="1728"/><w:shd w:val="clear" w:color="auto" w:fill="FFFFFF"/></w:tcPr><w:p><w:r><w:rPr><w:rFonts w:ascii="Times New Roman" w:hAnsi="Times New Roman"/><w:sz w:val="20"/></w:rPr><w:t>8</w:t></w:r></w:p></w:tc><w:tc><w:tcPr><w:tcW w:type="dxa" w:w="1728"/><w:shd w:val="clear" w:color="auto" w:fill="FFFFFF"/></w:tcPr><w:p><w:r><w:rPr><w:rFonts w:ascii="Times New Roman" w:hAnsi="Times New Roman"/><w:sz w:val="20"/></w:rPr><w:t>+1</w:t></w:r></w:p></w:tc></w:tr><w:tr><w:tc><w:tcPr><w:tcW w:type="dxa" w:w="3744"/><w:shd w:val="clear" w:color="auto" w:fill="F5F5F3"/></w:tcPr><w:p><w:r><w:rPr><w:rFonts w:ascii="Times New Roman" w:hAnsi="Times New Roman"/><w:sz w:val="20"/></w:rPr><w:t>Member firms represented</w:t></w:r></w:p></w:tc><w:tc><w:tcPr><w:tcW w:type="dxa" w:w="1728"/><w:shd w:val="clear" w:color="auto" w:fill="F5F5F3"/></w:tcPr><w:p><w:r><w:rPr><w:rFonts w:ascii="Times New Roman" w:hAnsi="Times New Roman"/><w:sz w:val="20"/></w:rPr><w:t>6</w:t></w:r></w:p></w:tc><w:tc><w:tcPr><w:tcW w:type="dxa" w:w="1728"/><w:shd w:val="clear" w:color="auto" w:fill="F5F5F3"/></w:tcPr><w:p><w:r><w:rPr><w:rFonts w:ascii="Times New Roman" w:hAnsi="Times New Roman"/><w:sz w:val="20"/></w:rPr><w:t>5</w:t></w:r></w:p></w:tc><w:tc><w:tcPr><w:tcW w:type="dxa" w:w="1728"/><w:shd w:val="clear" w:color="auto" w:fill="F5F5F3"/></w:tcPr><w:p><w:r><w:rPr><w:rFonts w:ascii="Times New Roman" w:hAnsi="Times New Roman"/><w:sz w:val="20"/></w:rPr><w:t>+1</w:t></w:r></w:p></w:tc></w:tr><w:tr><w:tc><w:tcPr><w:tcW w:type="dxa" w:w="3744"/><w:shd w:val="clear" w:color="auto" w:fill="FFFFFF"/></w:tcPr><w:p><w:r><w:rPr><w:rFonts w:ascii="Times New Roman" w:hAnsi="Times New Roman"/><w:sz w:val="20"/></w:rPr><w:t>Completion rate</w:t></w:r></w:p></w:tc><w:tc><w:tcPr><w:tcW w:type="dxa" w:w="1728"/><w:shd w:val="clear" w:color="auto" w:fill="FFFFFF"/></w:tcPr><w:p><w:r><w:rPr><w:rFonts w:ascii="Times New Roman" w:hAnsi="Times New Roman"/><w:sz w:val="20"/></w:rPr><w:t>91%</w:t></w:r></w:p></w:tc><w:tc><w:tcPr><w:tcW w:type="dxa" w:w="1728"/><w:shd w:val="clear" w:color="auto" w:fill="FFFFFF"/></w:tcPr><w:p><w:r><w:rPr><w:rFonts w:ascii="Times New Roman" w:hAnsi="Times New Roman"/><w:sz w:val="20"/></w:rPr><w:t>89%</w:t></w:r></w:p></w:tc><w:tc><w:tcPr><w:tcW w:type="dxa" w:w="1728"/><w:shd w:val="clear" w:color="auto" w:fill="FFFFFF"/></w:tcPr><w:p><w:r><w:rPr><w:rFonts w:ascii="Times New Roman" w:hAnsi="Times New Roman"/><w:sz w:val="20"/></w:rPr><w:t>+2 pts</w:t></w:r></w:p></w:tc></w:tr><w:tr><w:tc><w:tcPr><w:tcW w:type="dxa" w:w="3744"/><w:shd w:val="clear" w:color="auto" w:fill="F5F5F3"/></w:tcPr><w:p><w:r><w:rPr><w:rFonts w:ascii="Times New Roman" w:hAnsi="Times New Roman"/><w:sz w:val="20"/></w:rPr><w:t>Participants pursuing CTS credential</w:t></w:r></w:p></w:tc><w:tc><w:tcPr><w:tcW w:type="dxa" w:w="1728"/><w:shd w:val="clear" w:color="auto" w:fill="F5F5F3"/></w:tcPr><w:p><w:r><w:rPr><w:rFonts w:ascii="Times New Roman" w:hAnsi="Times New Roman"/><w:sz w:val="20"/></w:rPr><w:t>4</w:t></w:r></w:p></w:tc><w:tc><w:tcPr><w:tcW w:type="dxa" w:w="1728"/><w:shd w:val="clear" w:color="auto" w:fill="F5F5F3"/></w:tcPr><w:p><w:r><w:rPr><w:rFonts w:ascii="Times New Roman" w:hAnsi="Times New Roman"/><w:sz w:val="20"/></w:rPr><w:t>3</w:t></w:r></w:p></w:tc><w:tc><w:tcPr><w:tcW w:type="dxa" w:w="1728"/><w:shd w:val="clear" w:color="auto" w:fill="F5F5F3"/></w:tcPr><w:p><w:r><w:rPr><w:rFonts w:ascii="Times New Roman" w:hAnsi="Times New Roman"/><w:sz w:val="20"/></w:rPr><w:t>+1</w:t></w:r></w:p></w:tc></w:tr><w:tr><w:tc><w:tcPr><w:tcW w:type="dxa" w:w="3744"/><w:shd w:val="clear" w:color="auto" w:fill="FFFFFF"/></w:tcPr><w:p><w:r><w:rPr><w:rFonts w:ascii="Times New Roman" w:hAnsi="Times New Roman"/><w:sz w:val="20"/></w:rPr><w:t>Participants hired to new roles after program</w:t></w:r></w:p></w:tc><w:tc><w:tcPr><w:tcW w:type="dxa" w:w="1728"/><w:shd w:val="clear" w:color="auto" w:fill="FFFFFF"/></w:tcPr><w:p><w:r><w:rPr><w:rFonts w:ascii="Times New Roman" w:hAnsi="Times New Roman"/><w:sz w:val="20"/></w:rPr><w:t>3</w:t></w:r></w:p></w:tc><w:tc><w:tcPr><w:tcW w:type="dxa" w:w="1728"/><w:shd w:val="clear" w:color="auto" w:fill="FFFFFF"/></w:tcPr><w:p><w:r><w:rPr><w:rFonts w:ascii="Times New Roman" w:hAnsi="Times New Roman"/><w:sz w:val="20"/></w:rPr><w:t>2</w:t></w:r></w:p></w:tc><w:tc><w:tcPr><w:tcW w:type="dxa" w:w="1728"/><w:shd w:val="clear" w:color="auto" w:fill="FFFFFF"/></w:tcPr><w:p><w:r><w:rPr><w:rFonts w:ascii="Times New Roman" w:hAnsi="Times New Roman"/><w:sz w:val="20"/></w:rPr><w:t>+1</w:t></w:r></w:p></w:tc></w:tr><w:tr><w:tc><w:tcPr><w:tcW w:type="dxa" w:w="3744"/><w:shd w:val="clear" w:color="auto" w:fill="F5F5F3"/></w:tcPr><w:p><w:r><w:rPr><w:rFonts w:ascii="Times New Roman" w:hAnsi="Times New Roman"/><w:sz w:val="20"/></w:rPr><w:t>Group sessions held</w:t></w:r></w:p></w:tc><w:tc><w:tcPr><w:tcW w:type="dxa" w:w="1728"/><w:shd w:val="clear" w:color="auto" w:fill="F5F5F3"/></w:tcPr><w:p><w:r><w:rPr><w:rFonts w:ascii="Times New Roman" w:hAnsi="Times New Roman"/><w:sz w:val="20"/></w:rPr><w:t>5</w:t></w:r></w:p></w:tc><w:tc><w:tcPr><w:tcW w:type="dxa" w:w="1728"/><w:shd w:val="clear" w:color="auto" w:fill="F5F5F3"/></w:tcPr><w:p><w:r><w:rPr><w:rFonts w:ascii="Times New Roman" w:hAnsi="Times New Roman"/><w:sz w:val="20"/></w:rPr><w:t>4</w:t></w:r></w:p></w:tc><w:tc><w:tcPr><w:tcW w:type="dxa" w:w="1728"/><w:shd w:val="clear" w:color="auto" w:fill="F5F5F3"/></w:tcPr><w:p><w:r><w:rPr><w:rFonts w:ascii="Times New Roman" w:hAnsi="Times New Roman"/><w:sz w:val="20"/></w:rPr><w:t>+1</w:t></w:r></w:p></w:tc></w:tr></w:tbl><w:p/><w:p><w:pPr><w:pStyle w:val="Heading1"/></w:pPr><w:r><w:rPr><w:rFonts w:ascii="Times New Roman" w:hAnsi="Times New Roman"/><w:color w:val="1C3557"/></w:rPr><w:t>3. MENTOR ROSTER, 2025 COHORT</w:t></w:r></w:p><w:tbl><w:tblPr><w:tblStyle w:val="TableGrid"/><w:tblW w:type="auto" w:w="0"/><w:tblLook w:firstColumn="1" w:firstRow="1" w:lastColumn="0" w:lastRow="0" w:noHBand="0" w:noVBand="1" w:val="04A0"/></w:tblPr><w:tblGrid><w:gridCol w:w="2160"/><w:gridCol w:w="2160"/><w:gridCol w:w="2160"/><w:gridCol w:w="2160"/></w:tblGrid><w:tr><w:tc><w:tcPr><w:tcW w:type="dxa" w:w="2592"/><w:shd w:val="clear" w:color="auto" w:fill="1C3557"/></w:tcPr><w:p><w:r><w:rPr><w:rFonts w:ascii="Times New Roman" w:hAnsi="Times New Roman"/><w:b/><w:color w:val="FFFFFF"/><w:sz w:val="20"/></w:rPr><w:t>Mentor Name</w:t></w:r></w:p></w:tc><w:tc><w:tcPr><w:tcW w:type="dxa" w:w="2880"/><w:shd w:val="clear" w:color="auto" w:fill="1C3557"/></w:tcPr><w:p><w:r><w:rPr><w:rFonts w:ascii="Times New Roman" w:hAnsi="Times New Roman"/><w:b/><w:color w:val="FFFFFF"/><w:sz w:val="20"/></w:rPr><w:t>Firm</w:t></w:r></w:p></w:tc><w:tc><w:tcPr><w:tcW w:type="dxa" w:w="3168"/><w:shd w:val="clear" w:color="auto" w:fill="1C3557"/></w:tcPr><w:p><w:r><w:rPr><w:rFonts w:ascii="Times New Roman" w:hAnsi="Times New Roman"/><w:b/><w:color w:val="FFFFFF"/><w:sz w:val="20"/></w:rPr><w:t>Specialty</w:t></w:r></w:p></w:tc><w:tc><w:tcPr><w:tcW w:type="dxa" w:w="1008"/><w:shd w:val="clear" w:color="auto" w:fill="1C3557"/></w:tcPr><w:p><w:r><w:rPr><w:rFonts w:ascii="Times New Roman" w:hAnsi="Times New Roman"/><w:b/><w:color w:val="FFFFFF"/><w:sz w:val="20"/></w:rPr><w:t>Mentees</w:t></w:r></w:p></w:tc></w:tr><w:tr><w:tc><w:tcPr><w:tcW w:type="dxa" w:w="2592"/><w:shd w:val="clear" w:color="auto" w:fill="F5F5F3"/></w:tcPr><w:p><w:r><w:rPr><w:rFonts w:ascii="Times New Roman" w:hAnsi="Times New Roman"/><w:sz w:val="20"/></w:rPr><w:t>Jason Robert Kim</w:t></w:r></w:p></w:tc><w:tc><w:tcPr><w:tcW w:type="dxa" w:w="2880"/><w:shd w:val="clear" w:color="auto" w:fill="F5F5F3"/></w:tcPr><w:p><w:r><w:rPr><w:rFonts w:ascii="Times New Roman" w:hAnsi="Times New Roman"/><w:sz w:val="20"/></w:rPr><w:t>Kim Trade Services</w:t></w:r></w:p></w:tc><w:tc><w:tcPr><w:tcW w:type="dxa" w:w="3168"/><w:shd w:val="clear" w:color="auto" w:fill="F5F5F3"/></w:tcPr><w:p><w:r><w:rPr><w:rFonts w:ascii="Times New Roman" w:hAnsi="Times New Roman"/><w:sz w:val="20"/></w:rPr><w:t>USMCA compliance, tariff classification</w:t></w:r></w:p></w:tc><w:tc><w:tcPr><w:tcW w:type="dxa" w:w="1008"/><w:shd w:val="clear" w:color="auto" w:fill="F5F5F3"/></w:tcPr><w:p><w:r><w:rPr><w:rFonts w:ascii="Times New Roman" w:hAnsi="Times New Roman"/><w:sz w:val="20"/></w:rPr><w:t>2</w:t></w:r></w:p></w:tc></w:tr><w:tr><w:tc><w:tcPr><w:tcW w:type="dxa" w:w="2592"/><w:shd w:val="clear" w:color="auto" w:fill="FFFFFF"/></w:tcPr><w:p><w:r><w:rPr><w:rFonts w:ascii="Times New Roman" w:hAnsi="Times New Roman"/><w:sz w:val="20"/></w:rPr><w:t>Ryan Montoya</w:t></w:r></w:p></w:tc><w:tc><w:tcPr><w:tcW w:type="dxa" w:w="2880"/><w:shd w:val="clear" w:color="auto" w:fill="FFFFFF"/></w:tcPr><w:p><w:r><w:rPr><w:rFonts w:ascii="Times New Roman" w:hAnsi="Times New Roman"/><w:sz w:val="20"/></w:rPr><w:t>Montoya Logistics</w:t></w:r></w:p></w:tc><w:tc><w:tcPr><w:tcW w:type="dxa" w:w="3168"/><w:shd w:val="clear" w:color="auto" w:fill="FFFFFF"/></w:tcPr><w:p><w:r><w:rPr><w:rFonts w:ascii="Times New Roman" w:hAnsi="Times New Roman"/><w:sz w:val="20"/></w:rPr><w:t>Freight operations, trade facilitation</w:t></w:r></w:p></w:tc><w:tc><w:tcPr><w:tcW w:type="dxa" w:w="1008"/><w:shd w:val="clear" w:color="auto" w:fill="FFFFFF"/></w:tcPr><w:p><w:r><w:rPr><w:rFonts w:ascii="Times New Roman" w:hAnsi="Times New Roman"/><w:sz w:val="20"/></w:rPr><w:t>2</w:t></w:r></w:p></w:tc></w:tr><w:tr><w:tc><w:tcPr><w:tcW w:type="dxa" w:w="2592"/><w:shd w:val="clear" w:color="auto" w:fill="F5F5F3"/></w:tcPr><w:p><w:r><w:rPr><w:rFonts w:ascii="Times New Roman" w:hAnsi="Times New Roman"/><w:sz w:val="20"/></w:rPr><w:t>Priya Okonkwo</w:t></w:r></w:p></w:tc><w:tc><w:tcPr><w:tcW w:type="dxa" w:w="2880"/><w:shd w:val="clear" w:color="auto" w:fill="F5F5F3"/></w:tcPr><w:p><w:r><w:rPr><w:rFonts w:ascii="Times New Roman" w:hAnsi="Times New Roman"/><w:sz w:val="20"/></w:rPr><w:t>OhioAg Export Consulting</w:t></w:r></w:p></w:tc><w:tc><w:tcPr><w:tcW w:type="dxa" w:w="3168"/><w:shd w:val="clear" w:color="auto" w:fill="F5F5F3"/></w:tcPr><w:p><w:r><w:rPr><w:rFonts w:ascii="Times New Roman" w:hAnsi="Times New Roman"/><w:sz w:val="20"/></w:rPr><w:t>Agricultural exports, documentation</w:t></w:r></w:p></w:tc><w:tc><w:tcPr><w:tcW w:type="dxa" w:w="1008"/><w:shd w:val="clear" w:color="auto" w:fill="F5F5F3"/></w:tcPr><w:p><w:r><w:rPr><w:rFonts w:ascii="Times New Roman" w:hAnsi="Times New Roman"/><w:sz w:val="20"/></w:rPr><w:t>1</w:t></w:r></w:p></w:tc></w:tr><w:tr><w:tc><w:tcPr><w:tcW w:type="dxa" w:w="2592"/><w:shd w:val="clear" w:color="auto" w:fill="FFFFFF"/></w:tcPr><w:p><w:r><w:rPr><w:rFonts w:ascii="Times New Roman" w:hAnsi="Times New Roman"/><w:sz w:val="20"/></w:rPr><w:t>Marcus Webb</w:t></w:r></w:p></w:tc><w:tc><w:tcPr><w:tcW w:type="dxa" w:w="2880"/><w:shd w:val="clear" w:color="auto" w:fill="FFFFFF"/></w:tcPr><w:p><w:r><w:rPr><w:rFonts w:ascii="Times New Roman" w:hAnsi="Times New Roman"/><w:sz w:val="20"/></w:rPr><w:t>Webb Import Solutions</w:t></w:r></w:p></w:tc><w:tc><w:tcPr><w:tcW w:type="dxa" w:w="3168"/><w:shd w:val="clear" w:color="auto" w:fill="FFFFFF"/></w:tcPr><w:p><w:r><w:rPr><w:rFonts w:ascii="Times New Roman" w:hAnsi="Times New Roman"/><w:sz w:val="20"/></w:rPr><w:t>Import compliance, duty management</w:t></w:r></w:p></w:tc><w:tc><w:tcPr><w:tcW w:type="dxa" w:w="1008"/><w:shd w:val="clear" w:color="auto" w:fill="FFFFFF"/></w:tcPr><w:p><w:r><w:rPr><w:rFonts w:ascii="Times New Roman" w:hAnsi="Times New Roman"/><w:sz w:val="20"/></w:rPr><w:t>1</w:t></w:r></w:p></w:tc></w:tr><w:tr><w:tc><w:tcPr><w:tcW w:type="dxa" w:w="2592"/><w:shd w:val="clear" w:color="auto" w:fill="F5F5F3"/></w:tcPr><w:p><w:r><w:rPr><w:rFonts w:ascii="Times New Roman" w:hAnsi="Times New Roman"/><w:sz w:val="20"/></w:rPr><w:t>Teresa Bautista</w:t></w:r></w:p></w:tc><w:tc><w:tcPr><w:tcW w:type="dxa" w:w="2880"/><w:shd w:val="clear" w:color="auto" w:fill="F5F5F3"/></w:tcPr><w:p><w:r><w:rPr><w:rFonts w:ascii="Times New Roman" w:hAnsi="Times New Roman"/><w:sz w:val="20"/></w:rPr><w:t>Central Ohio Manufacturers Assn.</w:t></w:r></w:p></w:tc><w:tc><w:tcPr><w:tcW w:type="dxa" w:w="3168"/><w:shd w:val="clear" w:color="auto" w:fill="F5F5F3"/></w:tcPr><w:p><w:r><w:rPr><w:rFonts w:ascii="Times New Roman" w:hAnsi="Times New Roman"/><w:sz w:val="20"/></w:rPr><w:t>Regulatory affairs, trade policy</w:t></w:r></w:p></w:tc><w:tc><w:tcPr><w:tcW w:type="dxa" w:w="1008"/><w:shd w:val="clear" w:color="auto" w:fill="F5F5F3"/></w:tcPr><w:p><w:r><w:rPr><w:rFonts w:ascii="Times New Roman" w:hAnsi="Times New Roman"/><w:sz w:val="20"/></w:rPr><w:t>1</w:t></w:r></w:p></w:tc></w:tr><w:tr><w:tc><w:tcPr><w:tcW w:type="dxa" w:w="2592"/><w:shd w:val="clear" w:color="auto" w:fill="FFFFFF"/></w:tcPr><w:p><w:r><w:rPr><w:rFonts w:ascii="Times New Roman" w:hAnsi="Times New Roman"/><w:sz w:val="20"/></w:rPr><w:t>David Nguyen</w:t></w:r></w:p></w:tc><w:tc><w:tcPr><w:tcW w:type="dxa" w:w="2880"/><w:shd w:val="clear" w:color="auto" w:fill="FFFFFF"/></w:tcPr><w:p><w:r><w:rPr><w:rFonts w:ascii="Times New Roman" w:hAnsi="Times New Roman"/><w:sz w:val="20"/></w:rPr><w:t>Nguyen Compliance Group</w:t></w:r></w:p></w:tc><w:tc><w:tcPr><w:tcW w:type="dxa" w:w="3168"/><w:shd w:val="clear" w:color="auto" w:fill="FFFFFF"/></w:tcPr><w:p><w:r><w:rPr><w:rFonts w:ascii="Times New Roman" w:hAnsi="Times New Roman"/><w:sz w:val="20"/></w:rPr><w:t>Customs classification, ISF filing</w:t></w:r></w:p></w:tc><w:tc><w:tcPr><w:tcW w:type="dxa" w:w="1008"/><w:shd w:val="clear" w:color="auto" w:fill="FFFFFF"/></w:tcPr><w:p><w:r><w:rPr><w:rFonts w:ascii="Times New Roman" w:hAnsi="Times New Roman"/><w:sz w:val="20"/></w:rPr><w:t>1</w:t></w:r></w:p></w:tc></w:tr><w:tr><w:tc><w:tcPr><w:tcW w:type="dxa" w:w="2592"/><w:shd w:val="clear" w:color="auto" w:fill="F5F5F3"/></w:tcPr><w:p><w:r><w:rPr><w:rFonts w:ascii="Times New Roman" w:hAnsi="Times New Roman"/><w:sz w:val="20"/></w:rPr><w:t>Ray Hendricks</w:t></w:r></w:p></w:tc><w:tc><w:tcPr><w:tcW w:type="dxa" w:w="2880"/><w:shd w:val="clear" w:color="auto" w:fill="F5F5F3"/></w:tcPr><w:p><w:r><w:rPr><w:rFonts w:ascii="Times New Roman" w:hAnsi="Times New Roman"/><w:sz w:val="20"/></w:rPr><w:t>Hendricks Freight Partners</w:t></w:r></w:p></w:tc><w:tc><w:tcPr><w:tcW w:type="dxa" w:w="3168"/><w:shd w:val="clear" w:color="auto" w:fill="F5F5F3"/></w:tcPr><w:p><w:r><w:rPr><w:rFonts w:ascii="Times New Roman" w:hAnsi="Times New Roman"/><w:sz w:val="20"/></w:rPr><w:t>Freight forwarding, logistics planning</w:t></w:r></w:p></w:tc><w:tc><w:tcPr><w:tcW w:type="dxa" w:w="1008"/><w:shd w:val="clear" w:color="auto" w:fill="F5F5F3"/></w:tcPr><w:p><w:r><w:rPr><w:rFonts w:ascii="Times New Roman" w:hAnsi="Times New Roman"/><w:sz w:val="20"/></w:rPr><w:t>1</w:t></w:r></w:p></w:tc></w:tr><w:tr><w:tc><w:tcPr><w:tcW w:type="dxa" w:w="2592"/><w:shd w:val="clear" w:color="auto" w:fill="FFFFFF"/></w:tcPr><w:p><w:r><w:rPr><w:rFonts w:ascii="Times New Roman" w:hAnsi="Times New Roman"/><w:sz w:val="20"/></w:rPr><w:t>Annette Ruiz</w:t></w:r></w:p></w:tc><w:tc><w:tcPr><w:tcW w:type="dxa" w:w="2880"/><w:shd w:val="clear" w:color="auto" w:fill="FFFFFF"/></w:tcPr><w:p><w:r><w:rPr><w:rFonts w:ascii="Times New Roman" w:hAnsi="Times New Roman"/><w:sz w:val="20"/></w:rPr><w:t>Kim Trade Services</w:t></w:r></w:p></w:tc><w:tc><w:tcPr><w:tcW w:type="dxa" w:w="3168"/><w:shd w:val="clear" w:color="auto" w:fill="FFFFFF"/></w:tcPr><w:p><w:r><w:rPr><w:rFonts w:ascii="Times New Roman" w:hAnsi="Times New Roman"/><w:sz w:val="20"/></w:rPr><w:t>USMCA cert preparation, entry processing</w:t></w:r></w:p></w:tc><w:tc><w:tcPr><w:tcW w:type="dxa" w:w="1008"/><w:shd w:val="clear" w:color="auto" w:fill="FFFFFF"/></w:tcPr><w:p><w:r><w:rPr><w:rFonts w:ascii="Times New Roman" w:hAnsi="Times New Roman"/><w:sz w:val="20"/></w:rPr><w:t>1</w:t></w:r></w:p></w:tc></w:tr><w:tr><w:tc><w:tcPr><w:tcW w:type="dxa" w:w="2592"/><w:shd w:val="clear" w:color="auto" w:fill="F5F5F3"/></w:tcPr><w:p><w:r><w:rPr><w:rFonts w:ascii="Times New Roman" w:hAnsi="Times New Roman"/><w:sz w:val="20"/></w:rPr><w:t>Carolyn Adkins</w:t></w:r></w:p></w:tc><w:tc><w:tcPr><w:tcW w:type="dxa" w:w="2880"/><w:shd w:val="clear" w:color="auto" w:fill="F5F5F3"/></w:tcPr><w:p><w:r><w:rPr><w:rFonts w:ascii="Times New Roman" w:hAnsi="Times New Roman"/><w:sz w:val="20"/></w:rPr><w:t>Adkins Global Trade LLC</w:t></w:r></w:p></w:tc><w:tc><w:tcPr><w:tcW w:type="dxa" w:w="3168"/><w:shd w:val="clear" w:color="auto" w:fill="F5F5F3"/></w:tcPr><w:p><w:r><w:rPr><w:rFonts w:ascii="Times New Roman" w:hAnsi="Times New Roman"/><w:sz w:val="20"/></w:rPr><w:t>Trade strategy, client management</w:t></w:r></w:p></w:tc><w:tc><w:tcPr><w:tcW w:type="dxa" w:w="1008"/><w:shd w:val="clear" w:color="auto" w:fill="F5F5F3"/></w:tcPr><w:p><w:r><w:rPr><w:rFonts w:ascii="Times New Roman" w:hAnsi="Times New Roman"/><w:sz w:val="20"/></w:rPr><w:t>1</w:t></w:r></w:p></w:tc></w:tr></w:tbl><w:p/><w:p><w:pPr><w:pStyle w:val="Heading1"/></w:pPr><w:r><w:rPr><w:rFonts w:ascii="Times New Roman" w:hAnsi="Times New Roman"/><w:color w:val="1C3557"/></w:rPr><w:t>4. SESSION CURRICULUM, 2025</w:t></w:r></w:p><w:tbl><w:tblPr><w:tblStyle w:val="TableGrid"/><w:tblW w:type="auto" w:w="0"/><w:tblLook w:firstColumn="1" w:firstRow="1" w:lastColumn="0" w:lastRow="0" w:noHBand="0" w:noVBand="1" w:val="04A0"/></w:tblPr><w:tblGrid><w:gridCol w:w="2160"/><w:gridCol w:w="2160"/><w:gridCol w:w="2160"/><w:gridCol w:w="2160"/></w:tblGrid><w:tr><w:tc><w:tcPr><w:tcW w:type="dxa" w:w="1152"/><w:shd w:val="clear" w:color="auto" w:fill="1C3557"/></w:tcPr><w:p><w:r><w:rPr><w:rFonts w:ascii="Times New Roman" w:hAnsi="Times New Roman"/><w:b/><w:color w:val="FFFFFF"/><w:sz w:val="20"/></w:rPr><w:t>Session</w:t></w:r></w:p></w:tc><w:tc><w:tcPr><w:tcW w:type="dxa" w:w="1728"/><w:shd w:val="clear" w:color="auto" w:fill="1C3557"/></w:tcPr><w:p><w:r><w:rPr><w:rFonts w:ascii="Times New Roman" w:hAnsi="Times New Roman"/><w:b/><w:color w:val="FFFFFF"/><w:sz w:val="20"/></w:rPr><w:t>Date</w:t></w:r></w:p></w:tc><w:tc><w:tcPr><w:tcW w:type="dxa" w:w="4032"/><w:shd w:val="clear" w:color="auto" w:fill="1C3557"/></w:tcPr><w:p><w:r><w:rPr><w:rFonts w:ascii="Times New Roman" w:hAnsi="Times New Roman"/><w:b/><w:color w:val="FFFFFF"/><w:sz w:val="20"/></w:rPr><w:t>Topic</w:t></w:r></w:p></w:tc><w:tc><w:tcPr><w:tcW w:type="dxa" w:w="2736"/><w:shd w:val="clear" w:color="auto" w:fill="1C3557"/></w:tcPr><w:p><w:r><w:rPr><w:rFonts w:ascii="Times New Roman" w:hAnsi="Times New Roman"/><w:b/><w:color w:val="FFFFFF"/><w:sz w:val="20"/></w:rPr><w:t>Facilitator</w:t></w:r></w:p></w:tc></w:tr><w:tr><w:tc><w:tcPr><w:tcW w:type="dxa" w:w="1152"/><w:shd w:val="clear" w:color="auto" w:fill="F5F5F3"/></w:tcPr><w:p><w:r><w:rPr><w:rFonts w:ascii="Times New Roman" w:hAnsi="Times New Roman"/><w:sz w:val="20"/></w:rPr><w:t>Session 1</w:t></w:r></w:p></w:tc><w:tc><w:tcPr><w:tcW w:type="dxa" w:w="1728"/><w:shd w:val="clear" w:color="auto" w:fill="F5F5F3"/></w:tcPr><w:p><w:r><w:rPr><w:rFonts w:ascii="Times New Roman" w:hAnsi="Times New Roman"/><w:sz w:val="20"/></w:rPr><w:t>January 23, 2025</w:t></w:r></w:p></w:tc><w:tc><w:tcPr><w:tcW w:type="dxa" w:w="4032"/><w:shd w:val="clear" w:color="auto" w:fill="F5F5F3"/></w:tcPr><w:p><w:r><w:rPr><w:rFonts w:ascii="Times New Roman" w:hAnsi="Times New Roman"/><w:sz w:val="20"/></w:rPr><w:t>HTS Classification: How to Read the Tariff Schedule</w:t></w:r></w:p></w:tc><w:tc><w:tcPr><w:tcW w:type="dxa" w:w="2736"/><w:shd w:val="clear" w:color="auto" w:fill="F5F5F3"/></w:tcPr><w:p><w:r><w:rPr><w:rFonts w:ascii="Times New Roman" w:hAnsi="Times New Roman"/><w:sz w:val="20"/></w:rPr><w:t>Jason Robert Kim</w:t></w:r></w:p></w:tc></w:tr><w:tr><w:tc><w:tcPr><w:tcW w:type="dxa" w:w="1152"/><w:shd w:val="clear" w:color="auto" w:fill="FFFFFF"/></w:tcPr><w:p><w:r><w:rPr><w:rFonts w:ascii="Times New Roman" w:hAnsi="Times New Roman"/><w:sz w:val="20"/></w:rPr><w:t>Session 2</w:t></w:r></w:p></w:tc><w:tc><w:tcPr><w:tcW w:type="dxa" w:w="1728"/><w:shd w:val="clear" w:color="auto" w:fill="FFFFFF"/></w:tcPr><w:p><w:r><w:rPr><w:rFonts w:ascii="Times New Roman" w:hAnsi="Times New Roman"/><w:sz w:val="20"/></w:rPr><w:t>February 20, 2025</w:t></w:r></w:p></w:tc><w:tc><w:tcPr><w:tcW w:type="dxa" w:w="4032"/><w:shd w:val="clear" w:color="auto" w:fill="FFFFFF"/></w:tcPr><w:p><w:r><w:rPr><w:rFonts w:ascii="Times New Roman" w:hAnsi="Times New Roman"/><w:sz w:val="20"/></w:rPr><w:t>USMCA Origin Rules: What Every Trade Professional Needs to Know</w:t></w:r></w:p></w:tc><w:tc><w:tcPr><w:tcW w:type="dxa" w:w="2736"/><w:shd w:val="clear" w:color="auto" w:fill="FFFFFF"/></w:tcPr><w:p><w:r><w:rPr><w:rFonts w:ascii="Times New Roman" w:hAnsi="Times New Roman"/><w:sz w:val="20"/></w:rPr><w:t>Ryan Montoya</w:t></w:r></w:p></w:tc></w:tr><w:tr><w:tc><w:tcPr><w:tcW w:type="dxa" w:w="1152"/><w:shd w:val="clear" w:color="auto" w:fill="F5F5F3"/></w:tcPr><w:p><w:r><w:rPr><w:rFonts w:ascii="Times New Roman" w:hAnsi="Times New Roman"/><w:sz w:val="20"/></w:rPr><w:t>Session 3</w:t></w:r></w:p></w:tc><w:tc><w:tcPr><w:tcW w:type="dxa" w:w="1728"/><w:shd w:val="clear" w:color="auto" w:fill="F5F5F3"/></w:tcPr><w:p><w:r><w:rPr><w:rFonts w:ascii="Times New Roman" w:hAnsi="Times New Roman"/><w:sz w:val="20"/></w:rPr><w:t>March 20, 2025</w:t></w:r></w:p></w:tc><w:tc><w:tcPr><w:tcW w:type="dxa" w:w="4032"/><w:shd w:val="clear" w:color="auto" w:fill="F5F5F3"/></w:tcPr><w:p><w:r><w:rPr><w:rFonts w:ascii="Times New Roman" w:hAnsi="Times New Roman"/><w:sz w:val="20"/></w:rPr><w:t>Drawback Claims: Mechanics and Common Mistakes</w:t></w:r></w:p></w:tc><w:tc><w:tcPr><w:tcW w:type="dxa" w:w="2736"/><w:shd w:val="clear" w:color="auto" w:fill="F5F5F3"/></w:tcPr><w:p><w:r><w:rPr><w:rFonts w:ascii="Times New Roman" w:hAnsi="Times New Roman"/><w:sz w:val="20"/></w:rPr><w:t>Marcus Ford, KTS</w:t></w:r></w:p></w:tc></w:tr><w:tr><w:tc><w:tcPr><w:tcW w:type="dxa" w:w="1152"/><w:shd w:val="clear" w:color="auto" w:fill="FFFFFF"/></w:tcPr><w:p><w:r><w:rPr><w:rFonts w:ascii="Times New Roman" w:hAnsi="Times New Roman"/><w:sz w:val="20"/></w:rPr><w:t>Session 4</w:t></w:r></w:p></w:tc><w:tc><w:tcPr><w:tcW w:type="dxa" w:w="1728"/><w:shd w:val="clear" w:color="auto" w:fill="FFFFFF"/></w:tcPr><w:p><w:r><w:rPr><w:rFonts w:ascii="Times New Roman" w:hAnsi="Times New Roman"/><w:sz w:val="20"/></w:rPr><w:t>April 17, 2025</w:t></w:r></w:p></w:tc><w:tc><w:tcPr><w:tcW w:type="dxa" w:w="4032"/><w:shd w:val="clear" w:color="auto" w:fill="FFFFFF"/></w:tcPr><w:p><w:r><w:rPr><w:rFonts w:ascii="Times New Roman" w:hAnsi="Times New Roman"/><w:sz w:val="20"/></w:rPr><w:t>Agricultural Export Documentation and Phytosanitary Compliance</w:t></w:r></w:p></w:tc><w:tc><w:tcPr><w:tcW w:type="dxa" w:w="2736"/><w:shd w:val="clear" w:color="auto" w:fill="FFFFFF"/></w:tcPr><w:p><w:r><w:rPr><w:rFonts w:ascii="Times New Roman" w:hAnsi="Times New Roman"/><w:sz w:val="20"/></w:rPr><w:t>Priya Okonkwo</w:t></w:r></w:p></w:tc></w:tr><w:tr><w:tc><w:tcPr><w:tcW w:type="dxa" w:w="1152"/><w:shd w:val="clear" w:color="auto" w:fill="F5F5F3"/></w:tcPr><w:p><w:r><w:rPr><w:rFonts w:ascii="Times New Roman" w:hAnsi="Times New Roman"/><w:sz w:val="20"/></w:rPr><w:t>Session 5</w:t></w:r></w:p></w:tc><w:tc><w:tcPr><w:tcW w:type="dxa" w:w="1728"/><w:shd w:val="clear" w:color="auto" w:fill="F5F5F3"/></w:tcPr><w:p><w:r><w:rPr><w:rFonts w:ascii="Times New Roman" w:hAnsi="Times New Roman"/><w:sz w:val="20"/></w:rPr><w:t>May 15, 2025</w:t></w:r></w:p></w:tc><w:tc><w:tcPr><w:tcW w:type="dxa" w:w="4032"/><w:shd w:val="clear" w:color="auto" w:fill="F5F5F3"/></w:tcPr><w:p><w:r><w:rPr><w:rFonts w:ascii="Times New Roman" w:hAnsi="Times New Roman"/><w:sz w:val="20"/></w:rPr><w:t>Trade Career Paths: Building a Practice in Central Ohio</w:t></w:r></w:p></w:tc><w:tc><w:tcPr><w:tcW w:type="dxa" w:w="2736"/><w:shd w:val="clear" w:color="auto" w:fill="F5F5F3"/></w:tcPr><w:p><w:r><w:rPr><w:rFonts w:ascii="Times New Roman" w:hAnsi="Times New Roman"/><w:sz w:val="20"/></w:rPr><w:t>Panel</w:t></w:r></w:p></w:tc></w:tr></w:tbl><w:p/><w:p><w:pPr><w:pStyle w:val="Heading1"/></w:pPr><w:r><w:rPr><w:rFonts w:ascii="Times New Roman" w:hAnsi="Times New Roman"/><w:color w:val="1C3557"/></w:rPr><w:t>5. PARTICIPANT OUTCOMES AND FEEDBACK</w:t></w:r></w:p><w:p><w:pPr><w:spacing w:after="120"/></w:pPr><w:r><w:rPr><w:rFonts w:ascii="Times New Roman" w:hAnsi="Times New Roman"/><w:color w:val="1A1A1A"/><w:sz w:val="22"/></w:rPr><w:t>Ten of eleven participants completed the full six-month program. One participant withdrew in February due to a job relocation. End-of-cohort survey results (scale of 1 to 5, with 5 being excellent):</w:t></w:r></w:p><w:tbl><w:tblPr><w:tblStyle w:val="TableGrid"/><w:tblW w:type="auto" w:w="0"/><w:tblLook w:firstColumn="1" w:firstRow="1" w:lastColumn="0" w:lastRow="0" w:noHBand="0" w:noVBand="1" w:val="04A0"/></w:tblPr><w:tblGrid><w:gridCol w:w="4320"/><w:gridCol w:w="4320"/></w:tblGrid><w:tr><w:tc><w:tcPr><w:tcW w:type="dxa" w:w="6048"/><w:shd w:val="clear" w:color="auto" w:fill="1C3557"/></w:tcPr><w:p><w:r><w:rPr><w:rFonts w:ascii="Times New Roman" w:hAnsi="Times New Roman"/><w:b/><w:color w:val="FFFFFF"/><w:sz w:val="20"/></w:rPr><w:t>Survey Item</w:t></w:r></w:p></w:tc><w:tc><w:tcPr><w:tcW w:type="dxa" w:w="2160"/><w:shd w:val="clear" w:color="auto" w:fill="1C3557"/></w:tcPr><w:p><w:r><w:rPr><w:rFonts w:ascii="Times New Roman" w:hAnsi="Times New Roman"/><w:b/><w:color w:val="FFFFFF"/><w:sz w:val="20"/></w:rPr><w:t>Average Score</w:t></w:r></w:p></w:tc></w:tr><w:tr><w:tc><w:tcPr><w:tcW w:type="dxa" w:w="6048"/><w:shd w:val="clear" w:color="auto" w:fill="F5F5F3"/></w:tcPr><w:p><w:r><w:rPr><w:rFonts w:ascii="Times New Roman" w:hAnsi="Times New Roman"/><w:sz w:val="20"/></w:rPr><w:t>Overall program quality</w:t></w:r></w:p></w:tc><w:tc><w:tcPr><w:tcW w:type="dxa" w:w="2160"/><w:shd w:val="clear" w:color="auto" w:fill="F5F5F3"/></w:tcPr><w:p><w:r><w:rPr><w:rFonts w:ascii="Times New Roman" w:hAnsi="Times New Roman"/><w:sz w:val="20"/></w:rPr><w:t>4.6</w:t></w:r></w:p></w:tc></w:tr><w:tr><w:tc><w:tcPr><w:tcW w:type="dxa" w:w="6048"/><w:shd w:val="clear" w:color="auto" w:fill="FFFFFF"/></w:tcPr><w:p><w:r><w:rPr><w:rFonts w:ascii="Times New Roman" w:hAnsi="Times New Roman"/><w:sz w:val="20"/></w:rPr><w:t>Quality of mentor guidance</w:t></w:r></w:p></w:tc><w:tc><w:tcPr><w:tcW w:type="dxa" w:w="2160"/><w:shd w:val="clear" w:color="auto" w:fill="FFFFFF"/></w:tcPr><w:p><w:r><w:rPr><w:rFonts w:ascii="Times New Roman" w:hAnsi="Times New Roman"/><w:sz w:val="20"/></w:rPr><w:t>4.7</w:t></w:r></w:p></w:tc></w:tr><w:tr><w:tc><w:tcPr><w:tcW w:type="dxa" w:w="6048"/><w:shd w:val="clear" w:color="auto" w:fill="F5F5F3"/></w:tcPr><w:p><w:r><w:rPr><w:rFonts w:ascii="Times New Roman" w:hAnsi="Times New Roman"/><w:sz w:val="20"/></w:rPr><w:t>Relevance of group session topics</w:t></w:r></w:p></w:tc><w:tc><w:tcPr><w:tcW w:type="dxa" w:w="2160"/><w:shd w:val="clear" w:color="auto" w:fill="F5F5F3"/></w:tcPr><w:p><w:r><w:rPr><w:rFonts w:ascii="Times New Roman" w:hAnsi="Times New Roman"/><w:sz w:val="20"/></w:rPr><w:t>4.4</w:t></w:r></w:p></w:tc></w:tr><w:tr><w:tc><w:tcPr><w:tcW w:type="dxa" w:w="6048"/><w:shd w:val="clear" w:color="auto" w:fill="FFFFFF"/></w:tcPr><w:p><w:r><w:rPr><w:rFonts w:ascii="Times New Roman" w:hAnsi="Times New Roman"/><w:sz w:val="20"/></w:rPr><w:t>Program organization and communication</w:t></w:r></w:p></w:tc><w:tc><w:tcPr><w:tcW w:type="dxa" w:w="2160"/><w:shd w:val="clear" w:color="auto" w:fill="FFFFFF"/></w:tcPr><w:p><w:r><w:rPr><w:rFonts w:ascii="Times New Roman" w:hAnsi="Times New Roman"/><w:sz w:val="20"/></w:rPr><w:t>4.3</w:t></w:r></w:p></w:tc></w:tr><w:tr><w:tc><w:tcPr><w:tcW w:type="dxa" w:w="6048"/><w:shd w:val="clear" w:color="auto" w:fill="F5F5F3"/></w:tcPr><w:p><w:r><w:rPr><w:rFonts w:ascii="Times New Roman" w:hAnsi="Times New Roman"/><w:sz w:val="20"/></w:rPr><w:t>Would recommend the program to a colleague</w:t></w:r></w:p></w:tc><w:tc><w:tcPr><w:tcW w:type="dxa" w:w="2160"/><w:shd w:val="clear" w:color="auto" w:fill="F5F5F3"/></w:tcPr><w:p><w:r><w:rPr><w:rFonts w:ascii="Times New Roman" w:hAnsi="Times New Roman"/><w:sz w:val="20"/></w:rPr><w:t>4.8</w:t></w:r></w:p></w:tc></w:tr></w:tbl><w:p><w:pPr><w:spacing w:after="120"/></w:pPr><w:r><w:rPr><w:rFonts w:ascii="Times New Roman" w:hAnsi="Times New Roman"/><w:color w:val="1A1A1A"/><w:sz w:val="22"/></w:rPr><w:br/><w:t>Selected written comments (anonymized): 'The session on USMCA rules was the most practical trade training I have had outside of a formal exam setting.' | 'My mentor pushed me to pursue the CTS exam. I passed in October.' | 'The Columbus Trade Association connection through this program opened two doors I would not have found on my own.'</w:t></w:r></w:p><w:p><w:pPr><w:pStyle w:val="Heading1"/></w:pPr><w:r><w:rPr><w:rFonts w:ascii="Times New Roman" w:hAnsi="Times New Roman"/><w:color w:val="1C3557"/></w:rPr><w:t>6. FINANCIAL SUMMARY, 2025 PROGRAM</w:t></w:r></w:p><w:tbl><w:tblPr><w:tblStyle w:val="TableGrid"/><w:tblW w:type="auto" w:w="0"/><w:tblLook w:firstColumn="1" w:firstRow="1" w:lastColumn="0" w:lastRow="0" w:noHBand="0" w:noVBand="1" w:val="04A0"/></w:tblPr><w:tblGrid><w:gridCol w:w="2880"/><w:gridCol w:w="2880"/><w:gridCol w:w="2880"/></w:tblGrid><w:tr><w:tc><w:tcPr><w:tcW w:type="dxa" w:w="4608"/><w:shd w:val="clear" w:color="auto" w:fill="1C3557"/></w:tcPr><w:p><w:r><w:rPr><w:rFonts w:ascii="Times New Roman" w:hAnsi="Times New Roman"/><w:b/><w:color w:val="FFFFFF"/><w:sz w:val="20"/></w:rPr><w:t>Item</w:t></w:r></w:p></w:tc><w:tc><w:tcPr><w:tcW w:type="dxa" w:w="2160"/><w:shd w:val="clear" w:color="auto" w:fill="1C3557"/></w:tcPr><w:p><w:r><w:rPr><w:rFonts w:ascii="Times New Roman" w:hAnsi="Times New Roman"/><w:b/><w:color w:val="FFFFFF"/><w:sz w:val="20"/></w:rPr><w:t>Budgeted</w:t></w:r></w:p></w:tc><w:tc><w:tcPr><w:tcW w:type="dxa" w:w="2160"/><w:shd w:val="clear" w:color="auto" w:fill="1C3557"/></w:tcPr><w:p><w:r><w:rPr><w:rFonts w:ascii="Times New Roman" w:hAnsi="Times New Roman"/><w:b/><w:color w:val="FFFFFF"/><w:sz w:val="20"/></w:rPr><w:t>Actual</w:t></w:r></w:p></w:tc></w:tr><w:tr><w:tc><w:tcPr><w:tcW w:type="dxa" w:w="4608"/><w:shd w:val="clear" w:color="auto" w:fill="F5F5F3"/></w:tcPr><w:p><w:r><w:rPr><w:rFonts w:ascii="Times New Roman" w:hAnsi="Times New Roman"/><w:sz w:val="20"/></w:rPr><w:t>Printed materials and workbooks</w:t></w:r></w:p></w:tc><w:tc><w:tcPr><w:tcW w:type="dxa" w:w="2160"/><w:shd w:val="clear" w:color="auto" w:fill="F5F5F3"/></w:tcPr><w:p><w:r><w:rPr><w:rFonts w:ascii="Times New Roman" w:hAnsi="Times New Roman"/><w:sz w:val="20"/></w:rPr><w:t>$600.00</w:t></w:r></w:p></w:tc><w:tc><w:tcPr><w:tcW w:type="dxa" w:w="2160"/><w:shd w:val="clear" w:color="auto" w:fill="F5F5F3"/></w:tcPr><w:p><w:r><w:rPr><w:rFonts w:ascii="Times New Roman" w:hAnsi="Times New Roman"/><w:sz w:val="20"/></w:rPr><w:t>$544.00</w:t></w:r></w:p></w:tc></w:tr><w:tr><w:tc><w:tcPr><w:tcW w:type="dxa" w:w="4608"/><w:shd w:val="clear" w:color="auto" w:fill="FFFFFF"/></w:tcPr><w:p><w:r><w:rPr><w:rFonts w:ascii="Times New Roman" w:hAnsi="Times New Roman"/><w:sz w:val="20"/></w:rPr><w:t>Session venue fees (5 sessions)</w:t></w:r></w:p></w:tc><w:tc><w:tcPr><w:tcW w:type="dxa" w:w="2160"/><w:shd w:val="clear" w:color="auto" w:fill="FFFFFF"/></w:tcPr><w:p><w:r><w:rPr><w:rFonts w:ascii="Times New Roman" w:hAnsi="Times New Roman"/><w:sz w:val="20"/></w:rPr><w:t>$750.00</w:t></w:r></w:p></w:tc><w:tc><w:tcPr><w:tcW w:type="dxa" w:w="2160"/><w:shd w:val="clear" w:color="auto" w:fill="FFFFFF"/></w:tcPr><w:p><w:r><w:rPr><w:rFonts w:ascii="Times New Roman" w:hAnsi="Times New Roman"/><w:sz w:val="20"/></w:rPr><w:t>$700.00</w:t></w:r></w:p></w:tc></w:tr><w:tr><w:tc><w:tcPr><w:tcW w:type="dxa" w:w="4608"/><w:shd w:val="clear" w:color="auto" w:fill="F5F5F3"/></w:tcPr><w:p><w:r><w:rPr><w:rFonts w:ascii="Times New Roman" w:hAnsi="Times New Roman"/><w:sz w:val="20"/></w:rPr><w:t>End-of-cohort reception</w:t></w:r></w:p></w:tc><w:tc><w:tcPr><w:tcW w:type="dxa" w:w="2160"/><w:shd w:val="clear" w:color="auto" w:fill="F5F5F3"/></w:tcPr><w:p><w:r><w:rPr><w:rFonts w:ascii="Times New Roman" w:hAnsi="Times New Roman"/><w:sz w:val="20"/></w:rPr><w:t>$1,100.00</w:t></w:r></w:p></w:tc><w:tc><w:tcPr><w:tcW w:type="dxa" w:w="2160"/><w:shd w:val="clear" w:color="auto" w:fill="F5F5F3"/></w:tcPr><w:p><w:r><w:rPr><w:rFonts w:ascii="Times New Roman" w:hAnsi="Times New Roman"/><w:sz w:val="20"/></w:rPr><w:t>$1,072.00</w:t></w:r></w:p></w:tc></w:tr><w:tr><w:tc><w:tcPr><w:tcW w:type="dxa" w:w="4608"/><w:shd w:val="clear" w:color="auto" w:fill="FFFFFF"/></w:tcPr><w:p><w:r><w:rPr><w:rFonts w:ascii="Times New Roman" w:hAnsi="Times New Roman"/><w:sz w:val="20"/></w:rPr><w:t>Miscellaneous (postage, printing)</w:t></w:r></w:p></w:tc><w:tc><w:tcPr><w:tcW w:type="dxa" w:w="2160"/><w:shd w:val="clear" w:color="auto" w:fill="FFFFFF"/></w:tcPr><w:p><w:r><w:rPr><w:rFonts w:ascii="Times New Roman" w:hAnsi="Times New Roman"/><w:sz w:val="20"/></w:rPr><w:t>$150.00</w:t></w:r></w:p></w:tc><w:tc><w:tcPr><w:tcW w:type="dxa" w:w="2160"/><w:shd w:val="clear" w:color="auto" w:fill="FFFFFF"/></w:tcPr><w:p><w:r><w:rPr><w:rFonts w:ascii="Times New Roman" w:hAnsi="Times New Roman"/><w:sz w:val="20"/></w:rPr><w:t>$108.00</w:t></w:r></w:p></w:tc></w:tr><w:tr><w:tc><w:tcPr><w:tcW w:type="dxa" w:w="4608"/><w:shd w:val="clear" w:color="auto" w:fill="F5F5F3"/></w:tcPr><w:p><w:r><w:rPr><w:rFonts w:ascii="Times New Roman" w:hAnsi="Times New Roman"/><w:sz w:val="20"/></w:rPr><w:t>Total</w:t></w:r></w:p></w:tc><w:tc><w:tcPr><w:tcW w:type="dxa" w:w="2160"/><w:shd w:val="clear" w:color="auto" w:fill="F5F5F3"/></w:tcPr><w:p><w:r><w:rPr><w:rFonts w:ascii="Times New Roman" w:hAnsi="Times New Roman"/><w:sz w:val="20"/></w:rPr><w:t>$2,600.00</w:t></w:r></w:p></w:tc><w:tc><w:tcPr><w:tcW w:type="dxa" w:w="2160"/><w:shd w:val="clear" w:color="auto" w:fill="F5F5F3"/></w:tcPr><w:p><w:r><w:rPr><w:rFonts w:ascii="Times New Roman" w:hAnsi="Times New Roman"/><w:sz w:val="20"/></w:rPr><w:t>$2,424.00</w:t></w:r></w:p></w:tc></w:tr></w:tbl><w:p><w:pPr><w:spacing w:after="120"/></w:pPr><w:r><w:rPr><w:rFonts w:ascii="Times New Roman" w:hAnsi="Times New Roman"/><w:color w:val="1A1A1A"/><w:sz w:val="22"/></w:rPr><w:br/><w:t>Costs are funded by a Columbus Trade Association annual allocation of $1,200.00 and voluntary contributions from Kim Trade Services ($800.00) and Montoya Logistics ($800.00). The program operates with a modest surplus. The CTA board approved continued funding at the February 2026 board meeting, as reflected in p5.pdf.</w:t></w:r></w:p><w:p><w:pPr><w:pStyle w:val="Heading1"/></w:pPr><w:r><w:rPr><w:rFonts w:ascii="Times New Roman" w:hAnsi="Times New Roman"/><w:color w:val="1C3557"/></w:rPr><w:t>7. 2026 PROGRAM CALENDAR</w:t></w:r></w:p><w:p><w:pPr><w:spacing w:after="120"/></w:pPr><w:r><w:rPr><w:rFonts w:ascii="Times New Roman" w:hAnsi="Times New Roman"/><w:color w:val="1A1A1A"/><w:sz w:val="22"/></w:rPr><w:t>Applications for the 2026 cohort are closed on January 9, 2026. The cohort will run from October 2026 through March 2027. Mentor pairings are finalized. Any firms interested in future cohorts should contact by both program directors. Firms interested in nominating participants should contact Kim Trade Services or Montoya Logistics directly.</w:t></w:r></w:p><w:tbl><w:tblPr><w:tblStyle w:val="TableGrid"/><w:tblW w:type="auto" w:w="0"/><w:tblLook w:firstColumn="1" w:firstRow="1" w:lastColumn="0" w:lastRow="0" w:noHBand="0" w:noVBand="1" w:val="04A0"/></w:tblPr><w:tblGrid><w:gridCol w:w="4320"/><w:gridCol w:w="4320"/></w:tblGrid><w:tr><w:tc><w:tcPr><w:tcW w:type="dxa" w:w="6048"/><w:shd w:val="clear" w:color="auto" w:fill="1C3557"/></w:tcPr><w:p><w:r><w:rPr><w:rFonts w:ascii="Times New Roman" w:hAnsi="Times New Roman"/><w:b/><w:color w:val="FFFFFF"/><w:sz w:val="20"/></w:rPr><w:t>Event</w:t></w:r></w:p></w:tc><w:tc><w:tcPr><w:tcW w:type="dxa" w:w="2592"/><w:shd w:val="clear" w:color="auto" w:fill="1C3557"/></w:tcPr><w:p><w:r><w:rPr><w:rFonts w:ascii="Times New Roman" w:hAnsi="Times New Roman"/><w:b/><w:color w:val="FFFFFF"/><w:sz w:val="20"/></w:rPr><w:t>Date</w:t></w:r></w:p></w:tc></w:tr><w:tr><w:tc><w:tcPr><w:tcW w:type="dxa" w:w="6048"/><w:shd w:val="clear" w:color="auto" w:fill="F5F5F3"/></w:tcPr><w:p><w:r><w:rPr><w:rFonts w:ascii="Times New Roman" w:hAnsi="Times New Roman"/><w:sz w:val="20"/></w:rPr><w:t>Application deadline (participants and mentors)</w:t></w:r></w:p></w:tc><w:tc><w:tcPr><w:tcW w:type="dxa" w:w="2592"/><w:shd w:val="clear" w:color="auto" w:fill="F5F5F3"/></w:tcPr><w:p><w:r><w:rPr><w:rFonts w:ascii="Times New Roman" w:hAnsi="Times New Roman"/><w:sz w:val="20"/></w:rPr><w:t>January 9, 2026</w:t></w:r></w:p></w:tc></w:tr><w:tr><w:tc><w:tcPr><w:tcW w:type="dxa" w:w="6048"/><w:shd w:val="clear" w:color="auto" w:fill="FFFFFF"/></w:tcPr><w:p><w:r><w:rPr><w:rFonts w:ascii="Times New Roman" w:hAnsi="Times New Roman"/><w:sz w:val="20"/></w:rPr><w:t>Matching notifications sent</w:t></w:r></w:p></w:tc><w:tc><w:tcPr><w:tcW w:type="dxa" w:w="2592"/><w:shd w:val="clear" w:color="auto" w:fill="FFFFFF"/></w:tcPr><w:p><w:r><w:rPr><w:rFonts w:ascii="Times New Roman" w:hAnsi="Times New Roman"/><w:sz w:val="20"/></w:rPr><w:t>January 2026</w:t></w:r></w:p></w:tc></w:tr><w:tr><w:tc><w:tcPr><w:tcW w:type="dxa" w:w="6048"/><w:shd w:val="clear" w:color="auto" w:fill="F5F5F3"/></w:tcPr><w:p><w:r><w:rPr><w:rFonts w:ascii="Times New Roman" w:hAnsi="Times New Roman"/><w:sz w:val="20"/></w:rPr><w:t>Program kickoff and Session 1</w:t></w:r></w:p></w:tc><w:tc><w:tcPr><w:tcW w:type="dxa" w:w="2592"/><w:shd w:val="clear" w:color="auto" w:fill="F5F5F3"/></w:tcPr><w:p><w:r><w:rPr><w:rFonts w:ascii="Times New Roman" w:hAnsi="Times New Roman"/><w:sz w:val="20"/></w:rPr><w:t>October 22, 2026</w:t></w:r></w:p></w:tc></w:tr><w:tr><w:tc><w:tcPr><w:tcW w:type="dxa" w:w="6048"/><w:shd w:val="clear" w:color="auto" w:fill="FFFFFF"/></w:tcPr><w:p><w:r><w:rPr><w:rFonts w:ascii="Times New Roman" w:hAnsi="Times New Roman"/><w:sz w:val="20"/></w:rPr><w:t>Session 2</w:t></w:r></w:p></w:tc><w:tc><w:tcPr><w:tcW w:type="dxa" w:w="2592"/><w:shd w:val="clear" w:color="auto" w:fill="FFFFFF"/></w:tcPr><w:p><w:r><w:rPr><w:rFonts w:ascii="Times New Roman" w:hAnsi="Times New Roman"/><w:sz w:val="20"/></w:rPr><w:t>November 19, 2026</w:t></w:r></w:p></w:tc></w:tr><w:tr><w:tc><w:tcPr><w:tcW w:type="dxa" w:w="6048"/><w:shd w:val="clear" w:color="auto" w:fill="F5F5F3"/></w:tcPr><w:p><w:r><w:rPr><w:rFonts w:ascii="Times New Roman" w:hAnsi="Times New Roman"/><w:sz w:val="20"/></w:rPr><w:t>Session 3</w:t></w:r></w:p></w:tc><w:tc><w:tcPr><w:tcW w:type="dxa" w:w="2592"/><w:shd w:val="clear" w:color="auto" w:fill="F5F5F3"/></w:tcPr><w:p><w:r><w:rPr><w:rFonts w:ascii="Times New Roman" w:hAnsi="Times New Roman"/><w:sz w:val="20"/></w:rPr><w:t>December 17, 2026</w:t></w:r></w:p></w:tc></w:tr><w:tr><w:tc><w:tcPr><w:tcW w:type="dxa" w:w="6048"/><w:shd w:val="clear" w:color="auto" w:fill="FFFFFF"/></w:tcPr><w:p><w:r><w:rPr><w:rFonts w:ascii="Times New Roman" w:hAnsi="Times New Roman"/><w:sz w:val="20"/></w:rPr><w:t>Session 4</w:t></w:r></w:p></w:tc><w:tc><w:tcPr><w:tcW w:type="dxa" w:w="2592"/><w:shd w:val="clear" w:color="auto" w:fill="FFFFFF"/></w:tcPr><w:p><w:r><w:rPr><w:rFonts w:ascii="Times New Roman" w:hAnsi="Times New Roman"/><w:sz w:val="20"/></w:rPr><w:t>January 22, 2027</w:t></w:r></w:p></w:tc></w:tr><w:tr><w:tc><w:tcPr><w:tcW w:type="dxa" w:w="6048"/><w:shd w:val="clear" w:color="auto" w:fill="F5F5F3"/></w:tcPr><w:p><w:r><w:rPr><w:rFonts w:ascii="Times New Roman" w:hAnsi="Times New Roman"/><w:sz w:val="20"/></w:rPr><w:t>Session 5</w:t></w:r></w:p></w:tc><w:tc><w:tcPr><w:tcW w:type="dxa" w:w="2592"/><w:shd w:val="clear" w:color="auto" w:fill="F5F5F3"/></w:tcPr><w:p><w:r><w:rPr><w:rFonts w:ascii="Times New Roman" w:hAnsi="Times New Roman"/><w:sz w:val="20"/></w:rPr><w:t>February 19, 2027</w:t></w:r></w:p></w:tc></w:tr><w:tr><w:tc><w:tcPr><w:tcW w:type="dxa" w:w="6048"/><w:shd w:val="clear" w:color="auto" w:fill="FFFFFF"/></w:tcPr><w:p><w:r><w:rPr><w:rFonts w:ascii="Times New Roman" w:hAnsi="Times New Roman"/><w:sz w:val="20"/></w:rPr><w:t>End-of-cohort reception</w:t></w:r></w:p></w:tc><w:tc><w:tcPr><w:tcW w:type="dxa" w:w="2592"/><w:shd w:val="clear" w:color="auto" w:fill="FFFFFF"/></w:tcPr><w:p><w:r><w:rPr><w:rFonts w:ascii="Times New Roman" w:hAnsi="Times New Roman"/><w:sz w:val="20"/></w:rPr><w:t>March 12, 2027</w:t></w:r></w:p></w:tc></w:tr></w:tbl><w:p/><w:p><w:pPr><w:pStyle w:val="Heading1"/></w:pPr><w:r><w:rPr><w:rFonts w:ascii="Times New Roman" w:hAnsi="Times New Roman"/><w:color w:val="1C3557"/></w:rPr><w:t>8. ACKNOWLEDGMENTS</w:t></w:r></w:p><w:p><w:pPr><w:spacing w:after="120"/></w:pPr><w:r><w:rPr><w:rFonts w:ascii="Times New Roman" w:hAnsi="Times New Roman"/><w:color w:val="1A1A1A"/><w:sz w:val="22"/></w:rPr><w:t>The program directors thank all 2025 mentors for their time and expertise, the Columbus Trade Association board for continued institutional support, and the participants themselves for the seriousness with which they engaged the curriculum. The program is built on the premise that the trade profession in Central Ohio is better when experienced practitioners invest in the next generation. The 2025 cohort confirms that premise.</w:t></w:r></w:p><w:p/><w:p><w:pPr><w:spacing w:after="120"/></w:pPr><w:r><w:rPr><w:rFonts w:ascii="Times New Roman" w:hAnsi="Times New Roman"/><w:color w:val="1A1A1A"/><w:sz w:val="22"/></w:rPr><w:t>Submitted by: Jason Robert Kim, Kim Trade Services | Ryan Montoya, Montoya Logistics</w:t></w:r></w:p><w:p><w:pPr><w:spacing w:after="120"/></w:pPr><w:r><w:rPr><w:rFonts w:ascii="Times New Roman" w:hAnsi="Times New Roman"/><w:color w:val="1A1A1A"/><w:sz w:val="22"/></w:rPr><w:t>Date: January 15, 2026</w:t></w:r></w:p><w:p/><w:p><w:pPr><w:pStyle w:val="Heading1"/><w:spacing w:before="240" w:after="80"/></w:pPr><w:r><w:rPr><w:b/><w:color w:val="1C3557"/><w:sz w:val="24"/></w:rPr><w:t>9. PROGRAM HISTORY AND GROWTH METRICS</w:t></w:r></w:p><w:p><w:pPr><w:spacing w:after="80"/></w:pPr><w:r><w:rPr><w:sz w:val="20"/></w:rPr><w:t>The Columbus Trade Mentorship Program has grown steadily since its founding in 2019. The table below summarizes participation and completion rates across all completed cohorts. Program funding is tracked in x3.xlsx.</w:t></w:r></w:p><w:tbl><w:tblPr><w:tblStyle w:val="TableGrid"/><w:tblW w:type="auto" w:w="0"/><w:tblLook w:firstColumn="1" w:firstRow="1" w:lastColumn="0" w:lastRow="0" w:noHBand="0" w:noVBand="1" w:val="04A0"/></w:tblPr><w:tblGrid><w:gridCol w:w="1440"/><w:gridCol w:w="1440"/><w:gridCol w:w="1440"/><w:gridCol w:w="1440"/><w:gridCol w:w="1440"/><w:gridCol w:w="1440"/></w:tblGrid><w:tr><w:tc><w:tcPr><w:tcW w:type="dxa" w:w="720"/></w:tcPr><w:p><w:r><w:rPr><w:b/><w:sz w:val="18"/></w:rPr><w:t>Year</w:t></w:r></w:p></w:tc><w:tc><w:tcPr><w:tcW w:type="dxa" w:w="1296"/></w:tcPr><w:p><w:r><w:rPr><w:b/><w:sz w:val="18"/></w:rPr><w:t>Cohort Size</w:t></w:r></w:p></w:tc><w:tc><w:tcPr><w:tcW w:type="dxa" w:w="1008"/></w:tcPr><w:p><w:r><w:rPr><w:b/><w:sz w:val="18"/></w:rPr><w:t>Mentors</w:t></w:r></w:p></w:tc><w:tc><w:tcPr><w:tcW w:type="dxa" w:w="1296"/></w:tcPr><w:p><w:r><w:rPr><w:b/><w:sz w:val="18"/></w:rPr><w:t>Completed</w:t></w:r></w:p></w:tc><w:tc><w:tcPr><w:tcW w:type="dxa" w:w="1584"/></w:tcPr><w:p><w:r><w:rPr><w:b/><w:sz w:val="18"/></w:rPr><w:t>Completion Rate</w:t></w:r></w:p></w:tc><w:tc><w:tcPr><w:tcW w:type="dxa" w:w="3600"/></w:tcPr><w:p><w:r><w:rPr><w:b/><w:sz w:val="18"/></w:rPr><w:t>Notes</w:t></w:r></w:p></w:tc></w:tr><w:tr><w:tc><w:tcPr><w:tcW w:type="dxa" w:w="720"/></w:tcPr><w:p><w:r><w:rPr><w:sz w:val="18"/></w:rPr><w:t>2019</w:t></w:r></w:p></w:tc><w:tc><w:tcPr><w:tcW w:type="dxa" w:w="1296"/></w:tcPr><w:p><w:r><w:rPr><w:sz w:val="18"/></w:rPr><w:t>4</w:t></w:r></w:p></w:tc><w:tc><w:tcPr><w:tcW w:type="dxa" w:w="1008"/></w:tcPr><w:p><w:r><w:rPr><w:sz w:val="18"/></w:rPr><w:t>4</w:t></w:r></w:p></w:tc><w:tc><w:tcPr><w:tcW w:type="dxa" w:w="1296"/></w:tcPr><w:p><w:r><w:rPr><w:sz w:val="18"/></w:rPr><w:t>4</w:t></w:r></w:p></w:tc><w:tc><w:tcPr><w:tcW w:type="dxa" w:w="1584"/></w:tcPr><w:p><w:r><w:rPr><w:sz w:val="18"/></w:rPr><w:t>100%</w:t></w:r></w:p></w:tc><w:tc><w:tcPr><w:tcW w:type="dxa" w:w="3600"/></w:tcPr><w:p><w:r><w:rPr><w:sz w:val="18"/></w:rPr><w:t>Founding cohort; pilot year</w:t></w:r></w:p></w:tc></w:tr><w:tr><w:tc><w:tcPr><w:tcW w:type="dxa" w:w="720"/></w:tcPr><w:p><w:r><w:rPr><w:sz w:val="18"/></w:rPr><w:t>2020</w:t></w:r></w:p></w:tc><w:tc><w:tcPr><w:tcW w:type="dxa" w:w="1296"/></w:tcPr><w:p><w:r><w:rPr><w:sz w:val="18"/></w:rPr><w:t>6</w:t></w:r></w:p></w:tc><w:tc><w:tcPr><w:tcW w:type="dxa" w:w="1008"/></w:tcPr><w:p><w:r><w:rPr><w:sz w:val="18"/></w:rPr><w:t>5</w:t></w:r></w:p></w:tc><w:tc><w:tcPr><w:tcW w:type="dxa" w:w="1296"/></w:tcPr><w:p><w:r><w:rPr><w:sz w:val="18"/></w:rPr><w:t>5</w:t></w:r></w:p></w:tc><w:tc><w:tcPr><w:tcW w:type="dxa" w:w="1584"/></w:tcPr><w:p><w:r><w:rPr><w:sz w:val="18"/></w:rPr><w:t>83%</w:t></w:r></w:p></w:tc><w:tc><w:tcPr><w:tcW w:type="dxa" w:w="3600"/></w:tcPr><w:p><w:r><w:rPr><w:sz w:val="18"/></w:rPr><w:t>One withdrawal (personal)</w:t></w:r></w:p></w:tc></w:tr><w:tr><w:tc><w:tcPr><w:tcW w:type="dxa" w:w="720"/></w:tcPr><w:p><w:r><w:rPr><w:sz w:val="18"/></w:rPr><w:t>2021</w:t></w:r></w:p></w:tc><w:tc><w:tcPr><w:tcW w:type="dxa" w:w="1296"/></w:tcPr><w:p><w:r><w:rPr><w:sz w:val="18"/></w:rPr><w:t>7</w:t></w:r></w:p></w:tc><w:tc><w:tcPr><w:tcW w:type="dxa" w:w="1008"/></w:tcPr><w:p><w:r><w:rPr><w:sz w:val="18"/></w:rPr><w:t>6</w:t></w:r></w:p></w:tc><w:tc><w:tcPr><w:tcW w:type="dxa" w:w="1296"/></w:tcPr><w:p><w:r><w:rPr><w:sz w:val="18"/></w:rPr><w:t>7</w:t></w:r></w:p></w:tc><w:tc><w:tcPr><w:tcW w:type="dxa" w:w="1584"/></w:tcPr><w:p><w:r><w:rPr><w:sz w:val="18"/></w:rPr><w:t>100%</w:t></w:r></w:p></w:tc><w:tc><w:tcPr><w:tcW w:type="dxa" w:w="3600"/></w:tcPr><w:p><w:r><w:rPr><w:sz w:val="18"/></w:rPr><w:t>First cohort with external mentors</w:t></w:r></w:p></w:tc></w:tr><w:tr><w:tc><w:tcPr><w:tcW w:type="dxa" w:w="720"/></w:tcPr><w:p><w:r><w:rPr><w:sz w:val="18"/></w:rPr><w:t>2022</w:t></w:r></w:p></w:tc><w:tc><w:tcPr><w:tcW w:type="dxa" w:w="1296"/></w:tcPr><w:p><w:r><w:rPr><w:sz w:val="18"/></w:rPr><w:t>8</w:t></w:r></w:p></w:tc><w:tc><w:tcPr><w:tcW w:type="dxa" w:w="1008"/></w:tcPr><w:p><w:r><w:rPr><w:sz w:val="18"/></w:rPr><w:t>7</w:t></w:r></w:p></w:tc><w:tc><w:tcPr><w:tcW w:type="dxa" w:w="1296"/></w:tcPr><w:p><w:r><w:rPr><w:sz w:val="18"/></w:rPr><w:t>8</w:t></w:r></w:p></w:tc><w:tc><w:tcPr><w:tcW w:type="dxa" w:w="1584"/></w:tcPr><w:p><w:r><w:rPr><w:sz w:val="18"/></w:rPr><w:t>100%</w:t></w:r></w:p></w:tc><w:tc><w:tcPr><w:tcW w:type="dxa" w:w="3600"/></w:tcPr><w:p><w:r><w:rPr><w:sz w:val="18"/></w:rPr><w:t>CTA co-sponsorship began</w:t></w:r></w:p></w:tc></w:tr><w:tr><w:tc><w:tcPr><w:tcW w:type="dxa" w:w="720"/></w:tcPr><w:p><w:r><w:rPr><w:sz w:val="18"/></w:rPr><w:t>2023</w:t></w:r></w:p></w:tc><w:tc><w:tcPr><w:tcW w:type="dxa" w:w="1296"/></w:tcPr><w:p><w:r><w:rPr><w:sz w:val="18"/></w:rPr><w:t>9</w:t></w:r></w:p></w:tc><w:tc><w:tcPr><w:tcW w:type="dxa" w:w="1008"/></w:tcPr><w:p><w:r><w:rPr><w:sz w:val="18"/></w:rPr><w:t>8</w:t></w:r></w:p></w:tc><w:tc><w:tcPr><w:tcW w:type="dxa" w:w="1296"/></w:tcPr><w:p><w:r><w:rPr><w:sz w:val="18"/></w:rPr><w:t>9</w:t></w:r></w:p></w:tc><w:tc><w:tcPr><w:tcW w:type="dxa" w:w="1584"/></w:tcPr><w:p><w:r><w:rPr><w:sz w:val="18"/></w:rPr><w:t>100%</w:t></w:r></w:p></w:tc><w:tc><w:tcPr><w:tcW w:type="dxa" w:w="3600"/></w:tcPr><w:p><w:r><w:rPr><w:sz w:val="18"/></w:rPr><w:t>First cohort with post-program survey</w:t></w:r></w:p></w:tc></w:tr><w:tr><w:tc><w:tcPr><w:tcW w:type="dxa" w:w="720"/></w:tcPr><w:p><w:r><w:rPr><w:sz w:val="18"/></w:rPr><w:t>2024</w:t></w:r></w:p></w:tc><w:tc>9</w:t></w:r></w:p></w:tc><w:tc>8</w:t></w:r></w:p></w:tc><w:tc>8</w:t></w:r></w:p></w:tc><w:tc>89%</w:t></w:r></w:p></w:tc><w:tc><w:tcPr><w:tcW w:type="dxa" w:w="3600"/></w:tcPr><w:p><w:r><w:rPr><w:sz w:val="18"/></w:rPr><w:t>CBP alumni joined as guest mentors</w:t></w:r></w:p></w:tc></w:tr><w:tr><w:tc><w:tcPr><w:tcW w:type="dxa" w:w="720"/></w:tcPr><w:p><w:r><w:rPr><w:sz w:val="18"/></w:rPr><w:t>2025</w:t></w:r></w:p></w:tc><w:tc><w:tcPr><w:tcW w:type="dxa" w:w="1296"/></w:tcPr><w:p><w:r><w:rPr><w:sz w:val="18"/></w:rPr><w:t>11</w:t></w:r></w:p></w:tc><w:tc>9</w:t></w:r></w:p></w:tc><w:tc>10</w:t></w:r></w:p></w:tc><w:tc>91%</w:t></w:r></w:p></w:tc><w:tc><w:tcPr><w:tcW w:type="dxa" w:w="3600"/></w:tcPr><w:p><w:r><w:rPr><w:sz w:val="18"/></w:rPr><w:t>Current cohort; results in this report</w:t></w:r></w:p></w:tc></w:tr></w:tbl><w:p><w:pPr><w:spacing w:after="80"/></w:pPr><w:r><w:rPr><w:sz w:val="20"/></w:rPr></w:r></w:p><w:p><w:pPr><w:pStyle w:val="Heading1"/><w:spacing w:before="240" w:after="80"/></w:pPr><w:r><w:rPr><w:b/><w:color w:val="1C3557"/><w:sz w:val="24"/></w:rPr><w:t>10. 2026 COHORT RECRUITMENT AND PLANNING</w:t></w:r></w:p><w:p><w:pPr><w:spacing w:after="80"/></w:pPr><w:r><w:rPr><w:sz w:val="20"/></w:rPr><w:t>Recruitment for the 2026 cohort is underway. Application materials have been distributed through the Columbus Trade Association member newsletter, the Ohio Customs Brokers Association listserv, and direct outreach to Columbus State Community College and Ohio State University trade and logistics programs.</w:t></w:r></w:p><w:p><w:pPr><w:spacing w:after="80"/></w:pPr><w:r><w:rPr><w:sz w:val="20"/></w:rPr><w:t>Key program dates for the 2026 cohort are summarized below. Full schedule is maintained in the program calendar table in Section 4 of this document.</w:t></w:r></w:p><w:tbl><w:tblPr><w:tblStyle w:val="TableGrid"/><w:tblW w:type="auto" w:w="0"/><w:tblLook w:firstColumn="1" w:firstRow="1" w:lastColumn="0" w:lastRow="0" w:noHBand="0" w:noVBand="1" w:val="04A0"/></w:tblPr><w:tblGrid><w:gridCol w:w="2160"/><w:gridCol w:w="2160"/><w:gridCol w:w="2160"/><w:gridCol w:w="2160"/></w:tblGrid><w:tr><w:tc><w:tcPr><w:tcW w:type="dxa" w:w="3168"/></w:tcPr><w:p><w:r><w:rPr><w:b/><w:sz w:val="18"/></w:rPr><w:t>Milestone</w:t></w:r></w:p></w:tc><w:tc><w:tcPr><w:tcW w:type="dxa" w:w="2160"/></w:tcPr><w:p><w:r><w:rPr><w:b/><w:sz w:val="18"/></w:rPr><w:t>Target</w:t></w:r></w:p></w:tc><w:tc><w:tcPr><w:tcW w:type="dxa" w:w="2160"/></w:tcPr><w:p><w:r><w:rPr><w:b/><w:sz w:val="18"/></w:rPr><w:t>Owner</w:t></w:r></w:p></w:tc><w:tc><w:tcPr><w:tcW w:type="dxa" w:w="1728"/></w:tcPr><w:p><w:r><w:rPr><w:b/><w:sz w:val="18"/></w:rPr><w:t>Status</w:t></w:r></w:p></w:tc></w:tr><w:tr><w:tc><w:tcPr><w:tcW w:type="dxa" w:w="3168"/></w:tcPr><w:p><w:r><w:rPr><w:sz w:val="18"/></w:rPr><w:t>Application materials finalized</w:t></w:r></w:p></w:tc><w:tc><w:tcPr><w:tcW w:type="dxa" w:w="2160"/></w:tcPr><w:p><w:r><w:rPr><w:sz w:val="18"/></w:rPr><w:t>Fall 2026</w:t></w:r></w:p></w:tc><w:tc><w:tcPr><w:tcW w:type="dxa" w:w="2160"/></w:tcPr><w:p><w:r><w:rPr><w:sz w:val="18"/></w:rPr><w:t>Ryan Montoya</w:t></w:r></w:p></w:tc><w:tc><w:tcPr><w:tcW w:type="dxa" w:w="1728"/></w:tcPr><w:p><w:r><w:rPr><w:sz w:val="18"/></w:rPr><w:t>In progress</w:t></w:r></w:p></w:tc></w:tr><w:tr><w:tc><w:tcPr><w:tcW w:type="dxa" w:w="3168"/></w:tcPr><w:p><w:r><w:rPr><w:sz w:val="18"/></w:rPr><w:t>Application deadline</w:t></w:r></w:p></w:tc><w:tc><w:tcPr><w:tcW w:type="dxa" w:w="2160"/></w:tcPr><w:p><w:r><w:rPr><w:sz w:val="18"/></w:rPr><w:t>January 9, 2026</w:t></w:r></w:p></w:tc><w:tc><w:tcPr><w:tcW w:type="dxa" w:w="2160"/></w:tcPr><w:p><w:r><w:rPr><w:sz w:val="18"/></w:rPr><w:t>Both directors</w:t></w:r></w:p></w:tc><w:tc><w:tcPr><w:tcW w:type="dxa" w:w="1728"/></w:tcPr><w:p><w:r><w:rPr><w:sz w:val="18"/></w:rPr><w:t>Pending</w:t></w:r></w:p></w:tc></w:tr><w:tr><w:tc><w:tcPr><w:tcW w:type="dxa" w:w="3168"/></w:tcPr><w:p><w:r><w:rPr><w:sz w:val="18"/></w:rPr><w:t>Mentor recruitment</w:t></w:r></w:p></w:tc><w:tc><w:tcPr><w:tcW w:type="dxa" w:w="2160"/></w:tcPr><w:p><w:r><w:rPr><w:sz w:val="18"/></w:rPr><w:t>October 2026</w:t></w:r></w:p></w:tc><w:tc><w:tcPr><w:tcW w:type="dxa" w:w="2160"/></w:tcPr><w:p><w:r><w:rPr><w:sz w:val="18"/></w:rPr><w:t>Jason Kim</w:t></w:r></w:p></w:tc><w:tc><w:tcPr><w:tcW w:type="dxa" w:w="1728"/></w:tcPr><w:p><w:r><w:rPr><w:sz w:val="18"/></w:rPr><w:t>Planned</w:t></w:r></w:p></w:tc></w:tr><w:tr><w:tc><w:tcPr><w:tcW w:type="dxa" w:w="3168"/></w:tcPr><w:p><w:r><w:rPr><w:sz w:val="18"/></w:rPr><w:t>Matching complete</w:t></w:r></w:p></w:tc><w:tc><w:tcPr><w:tcW w:type="dxa" w:w="2160"/></w:tcPr><w:p><w:r><w:rPr><w:sz w:val="18"/></w:rPr><w:t>January 2026</w:t></w:r></w:p></w:tc><w:tc><w:tcPr><w:tcW w:type="dxa" w:w="2160"/></w:tcPr><w:p><w:r><w:rPr><w:sz w:val="18"/></w:rPr><w:t>Both directors</w:t></w:r></w:p></w:tc><w:tc><w:tcPr><w:tcW w:type="dxa" w:w="1728"/></w:tcPr><w:p><w:r><w:rPr><w:sz w:val="18"/></w:rPr><w:t>Planned</w:t></w:r></w:p></w:tc></w:tr><w:tr><w:tc><w:tcPr><w:tcW w:type="dxa" w:w="3168"/></w:tcPr><w:p><w:r><w:rPr><w:sz w:val="18"/></w:rPr><w:t>Kickoff session</w:t></w:r></w:p></w:tc><w:tc><w:tcPr><w:tcW w:type="dxa" w:w="2160"/></w:tcPr><w:p><w:r><w:rPr><w:sz w:val="18"/></w:rPr><w:t>October 22, 2026</w:t></w:r></w:p></w:tc><w:tc><w:tcPr><w:tcW w:type="dxa" w:w="2160"/></w:tcPr><w:p><w:r><w:rPr><w:sz w:val="18"/></w:rPr><w:t>Both directors</w:t></w:r></w:p></w:tc><w:tc><w:tcPr><w:tcW w:type="dxa" w:w="1728"/></w:tcPr><w:p><w:r><w:rPr><w:sz w:val="18"/></w:rPr><w:t>Planned</w:t></w:r></w:p></w:tc></w:tr></w:tbl><w:p><w:pPr><w:spacing w:after="80"/></w:pPr><w:r><w:rPr><w:sz w:val="20"/></w:rPr></w:r></w:p><w:p><w:pPr><w:pStyle w:val="Heading1"/><w:spacing w:before="240" w:after="80"/></w:pPr><w:r><w:rPr><w:b/><w:color w:val="1C3557"/><w:sz w:val="24"/></w:rPr><w:t>11. BUDGET AND FUNDING NOTES</w:t></w:r></w:p><w:p><w:pPr><w:spacing w:after="80"/></w:pPr><w:r><w:rPr><w:sz w:val="20"/></w:rPr><w:t>The 2025 cohort operated within its authorized budget of $1,200 (per CTA board motion 2026-02-03, recorded in p5.pdf). No additional funding requests are anticipated for the 2026 cohort. Direct program costs remain limited to session venue costs at the Columbus Trade Association boardroom (donated by CTA), printed materials, and end-of-cohort reception catering. See x3.xlsx for the full multi-year program budget and projection.</w:t></w:r></w:p><w:p><w:pPr><w:spacing w:after="80"/></w:pPr><w:r><w:rPr><w:sz w:val="20"/></w:rPr><w:t>The 2026 cohort budget request of $1,200 will be presented to the CTA board at the October 2026 meeting.</w:t></w:r></w:p><w:p><w:pPr><w:spacing w:after="80"/></w:pPr><w:r><w:rPr><w:sz w:val="20"/></w:rPr><w:t>Program directors serve without compensation. Kim Trade Services and Montoya Logistics each absorb the time cost of mentorship direction as a firm investment in industry pipeline development.</w:t></w:r></w:p><w:sectPr w:rsidR="00FC693F" w:rsidRPr="0006063C" w:rsidSect="00034616"><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