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Second Commercial Property Acquisition Plan</w:t>
      </w:r>
    </w:p>
    <w:p>
      <w:r>
        <w:rPr>
          <w:b w:val="0"/>
          <w:sz w:val="18"/>
        </w:rPr>
        <w:t>Private working notes, Jason Rivera</w:t>
      </w:r>
    </w:p>
    <w:p>
      <w:r>
        <w:rPr>
          <w:b w:val="0"/>
          <w:sz w:val="18"/>
        </w:rPr>
        <w:t>Updated December 28, 2025</w:t>
      </w:r>
    </w:p>
    <w:p/>
    <w:p>
      <w:r>
        <w:rPr>
          <w:b/>
          <w:sz w:val="22"/>
        </w:rPr>
        <w:t>Goal</w:t>
      </w:r>
    </w:p>
    <w:p>
      <w:r>
        <w:rPr>
          <w:b w:val="0"/>
          <w:sz w:val="22"/>
        </w:rPr>
        <w:t>Acquire a second small mixed use or retail commercial property in or near Paterson by the end of 2027. Target is a building that throws off rent like the Van Houten property and gives one of the restaurants room to grow or relocate if needed.</w:t>
      </w:r>
    </w:p>
    <w:p/>
    <w:p>
      <w:r>
        <w:rPr>
          <w:b/>
          <w:sz w:val="22"/>
        </w:rPr>
        <w:t>What worked on Van Houten</w:t>
      </w:r>
    </w:p>
    <w:p>
      <w:r>
        <w:rPr>
          <w:b w:val="0"/>
          <w:sz w:val="22"/>
        </w:rPr>
        <w:t>Bought in 2020 for $385,000, now worth about $520,000. Gross rent of $4,350 a month covers the $2,200 mortgage, the $8,400 in taxes, and the $3,200 insurance with margin left over. Self managing with Selim handling the legal side keeps costs down.</w:t>
      </w:r>
    </w:p>
    <w:p/>
    <w:p>
      <w:r>
        <w:rPr>
          <w:b/>
          <w:sz w:val="22"/>
        </w:rPr>
        <w:t>Target criteria</w:t>
      </w:r>
    </w:p>
    <w:p>
      <w:pPr>
        <w:pStyle w:val="ListBullet"/>
      </w:pPr>
      <w:r>
        <w:t>Price range $400,000 to $600,000</w:t>
      </w:r>
    </w:p>
    <w:p>
      <w:pPr>
        <w:pStyle w:val="ListBullet"/>
      </w:pPr>
      <w:r>
        <w:t>Two to four units, mixed retail and residential preferred</w:t>
      </w:r>
    </w:p>
    <w:p>
      <w:pPr>
        <w:pStyle w:val="ListBullet"/>
      </w:pPr>
      <w:r>
        <w:t>Cap rate of 7 percent or better at current rents</w:t>
      </w:r>
    </w:p>
    <w:p>
      <w:pPr>
        <w:pStyle w:val="ListBullet"/>
      </w:pPr>
      <w:r>
        <w:t>Within 15 minutes of the Main Street kitchen</w:t>
      </w:r>
    </w:p>
    <w:p>
      <w:pPr>
        <w:pStyle w:val="ListBullet"/>
      </w:pPr>
      <w:r>
        <w:t>Structurally sound roof and systems, no major deferred work</w:t>
      </w:r>
    </w:p>
    <w:p>
      <w:pPr>
        <w:pStyle w:val="ListBullet"/>
      </w:pPr>
      <w:r>
        <w:t>Existing tenants with clean payment history</w:t>
      </w:r>
    </w:p>
    <w:p/>
    <w:p>
      <w:r>
        <w:rPr>
          <w:b/>
          <w:sz w:val="22"/>
        </w:rPr>
        <w:t>Financing</w:t>
      </w:r>
    </w:p>
    <w:p>
      <w:r>
        <w:rPr>
          <w:b w:val="0"/>
          <w:sz w:val="22"/>
        </w:rPr>
        <w:t>Plan to put 25 percent down from a mix of restaurant distributions and the real estate reserve account. Talk to Valley National and TD about a commercial loan once a property is identified. Keep the emergency fund untouched. Do not stretch the household budget to make a deal work.</w:t>
      </w:r>
    </w:p>
    <w:p/>
    <w:p>
      <w:r>
        <w:rPr>
          <w:b/>
          <w:sz w:val="22"/>
        </w:rPr>
        <w:t>Next steps</w:t>
      </w:r>
    </w:p>
    <w:p>
      <w:pPr>
        <w:pStyle w:val="ListBullet"/>
      </w:pPr>
      <w:r>
        <w:t>Keep checking Loopnet daily and the NJ commercial meetup listings</w:t>
      </w:r>
    </w:p>
    <w:p>
      <w:pPr>
        <w:pStyle w:val="ListBullet"/>
      </w:pPr>
      <w:r>
        <w:t>Ask Selim to flag any off market deals from his clients</w:t>
      </w:r>
    </w:p>
    <w:p>
      <w:pPr>
        <w:pStyle w:val="ListBullet"/>
      </w:pPr>
      <w:r>
        <w:t>Run the numbers on anything under cap rate 7 before getting attached</w:t>
      </w:r>
    </w:p>
    <w:p>
      <w:pPr>
        <w:pStyle w:val="ListBullet"/>
      </w:pPr>
      <w:r>
        <w:t>Revisit this plan after the Wayne equipment loan is paid off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2026-01-23T16:09:00Z</dcterms:created>
  <dcterms:modified xsi:type="dcterms:W3CDTF">2026-01-23T16:09:00Z</dcterms:modified>
  <cp:category/>
</cp:coreProperties>
</file>