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Long Pediatric Therapy</w:t>
      </w:r>
    </w:p>
    <w:p>
      <w:r>
        <w:t>3812 N 26th St, Suite 201, Tacoma, WA 98407   (253) 555-0133   NPI 1730284957</w:t>
      </w:r>
    </w:p>
    <w:p>
      <w:r>
        <w:t>October 6, 2026</w:t>
      </w:r>
    </w:p>
    <w:p>
      <w:r>
        <w:t>Provider Relations</w:t>
        <w:br/>
        <w:t>Premera Blue Cross</w:t>
        <w:br/>
        <w:t>P.O. Box 327, Seattle, WA 98111</w:t>
      </w:r>
    </w:p>
    <w:p>
      <w:r>
        <w:t>Re: Re-credentialing, Jennifer Long, OTR/L, NPI 1730284957, Group Tax ID on file</w:t>
      </w:r>
    </w:p>
    <w:p>
      <w:r>
        <w:t>To the Credentialing Team,</w:t>
      </w:r>
    </w:p>
    <w:p>
      <w:r>
        <w:t>I am writing to confirm completion of my re-credentialing packet for the upcoming cycle. Long Pediatric Therapy has been an in network provider with Premera since 2021, and I would like to continue without interruption.</w:t>
      </w:r>
    </w:p>
    <w:p>
      <w:r>
        <w:t>Enclosed and updated in CAQH are my current Washington OT license, professional liability coverage through Pacific Professional Insurance (policy PPI-WA-558204), and a current W-9. There have been no changes to my practice address, no malpractice actions, and no license restrictions since the last cycle.</w:t>
      </w:r>
    </w:p>
    <w:p>
      <w:r>
        <w:t>My practice remains solo, serving pediatric clients ages two to twelve for sensory processing, fine motor, and handwriting intervention. Please contact me or my administrator, Marta Gonzalez, if anything further is needed to keep my paneling active.</w:t>
      </w:r>
    </w:p>
    <w:p>
      <w:r>
        <w:t>Thank you for your time.</w:t>
      </w:r>
    </w:p>
    <w:p>
      <w:r>
        <w:t>Sincerely,</w:t>
        <w:br/>
        <w:t>Jennifer Long, OTR/L</w:t>
        <w:br/>
        <w:t>Owner, Long Pediatric Therapy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Long</dc:creator>
  <cp:keywords/>
  <dc:description/>
  <cp:lastModifiedBy>Jennifer Long</cp:lastModifiedBy>
  <cp:revision>2</cp:revision>
  <dcterms:created xsi:type="dcterms:W3CDTF">2026-10-06T09:00:00Z</dcterms:created>
  <dcterms:modified xsi:type="dcterms:W3CDTF">2026-10-06T09:00:00Z</dcterms:modified>
</cp:coreProperties>
</file>