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pPr>
      <w:r>
        <w:rPr>
          <w:sz w:val="22"/>
        </w:rPr>
        <w:t>47 Atlantic Street</w:t>
      </w:r>
    </w:p>
    <w:p>
      <w:pPr>
        <w:spacing w:before="0" w:after="60"/>
        <w:ind w:left="0"/>
      </w:pPr>
      <w:r>
        <w:rPr>
          <w:sz w:val="22"/>
        </w:rPr>
        <w:t>Portland, Maine 04101</w:t>
      </w:r>
    </w:p>
    <w:p>
      <w:pPr>
        <w:spacing w:before="0" w:after="60"/>
        <w:ind w:left="0"/>
      </w:pPr>
      <w:r>
        <w:rPr>
          <w:sz w:val="22"/>
        </w:rPr>
        <w:t>(207) 555-0134</w:t>
      </w:r>
    </w:p>
    <w:p>
      <w:pPr>
        <w:spacing w:before="0" w:after="60"/>
        <w:ind w:left="0"/>
      </w:pPr>
      <w:r>
        <w:rPr>
          <w:sz w:val="22"/>
        </w:rPr>
        <w:t>joanne.lawton@Greenridertech.co</w:t>
      </w:r>
    </w:p>
    <w:p>
      <w:pPr>
        <w:spacing w:before="0" w:after="0"/>
      </w:pPr>
    </w:p>
    <w:p>
      <w:pPr>
        <w:spacing w:before="0" w:after="60"/>
        <w:ind w:left="0"/>
      </w:pPr>
      <w:r>
        <w:rPr>
          <w:sz w:val="22"/>
        </w:rPr>
        <w:t>February 15, 2026</w:t>
      </w:r>
    </w:p>
    <w:p>
      <w:pPr>
        <w:spacing w:before="0" w:after="0"/>
      </w:pPr>
    </w:p>
    <w:p>
      <w:pPr>
        <w:spacing w:before="0" w:after="60"/>
        <w:ind w:left="0"/>
      </w:pPr>
      <w:r>
        <w:rPr>
          <w:sz w:val="22"/>
        </w:rPr>
        <w:t>Dr. Robert Chambers</w:t>
      </w:r>
    </w:p>
    <w:p>
      <w:pPr>
        <w:spacing w:before="0" w:after="60"/>
        <w:ind w:left="0"/>
      </w:pPr>
      <w:r>
        <w:rPr>
          <w:sz w:val="22"/>
        </w:rPr>
        <w:t>Greenleaf Health Portland</w:t>
      </w:r>
    </w:p>
    <w:p>
      <w:pPr>
        <w:spacing w:before="0" w:after="60"/>
        <w:ind w:left="0"/>
      </w:pPr>
      <w:r>
        <w:rPr>
          <w:sz w:val="22"/>
        </w:rPr>
        <w:t>2211 Congress Street</w:t>
      </w:r>
    </w:p>
    <w:p>
      <w:pPr>
        <w:spacing w:before="0" w:after="60"/>
        <w:ind w:left="0"/>
      </w:pPr>
      <w:r>
        <w:rPr>
          <w:sz w:val="22"/>
        </w:rPr>
        <w:t>Portland, Maine 04101</w:t>
      </w:r>
    </w:p>
    <w:p>
      <w:pPr>
        <w:spacing w:before="0" w:after="0"/>
      </w:pPr>
    </w:p>
    <w:p>
      <w:pPr>
        <w:spacing w:before="0" w:after="60"/>
        <w:ind w:left="0"/>
      </w:pPr>
      <w:r>
        <w:rPr>
          <w:sz w:val="22"/>
        </w:rPr>
        <w:t>Dear Dr. Chambers,</w:t>
      </w:r>
    </w:p>
    <w:p>
      <w:pPr>
        <w:spacing w:before="0" w:after="0"/>
      </w:pPr>
    </w:p>
    <w:p>
      <w:pPr>
        <w:spacing w:before="0" w:after="60"/>
        <w:ind w:left="0"/>
      </w:pPr>
      <w:r>
        <w:rPr>
          <w:sz w:val="22"/>
        </w:rPr>
        <w:t>I am writing ahead of our next appointment because I find I explain myself better on paper than I do sitting across from you trying to look less worried than I am.</w:t>
      </w:r>
    </w:p>
    <w:p>
      <w:pPr>
        <w:spacing w:before="0" w:after="0"/>
      </w:pPr>
    </w:p>
    <w:p>
      <w:pPr>
        <w:spacing w:before="0" w:after="60"/>
        <w:ind w:left="0"/>
      </w:pPr>
      <w:r>
        <w:rPr>
          <w:sz w:val="22"/>
        </w:rPr>
        <w:t>You were straightforward with me about the A1c of 7.4, and I want you to know I have been listening more carefully than I probably let on in your office that day. I know what 7.4 means. I nursed diabetic patients for the last fifteen years of my career and I have seen what happens when the number keeps climbing. I am not pretending it is fine.</w:t>
      </w:r>
    </w:p>
    <w:p>
      <w:pPr>
        <w:spacing w:before="0" w:after="0"/>
      </w:pPr>
    </w:p>
    <w:p>
      <w:pPr>
        <w:spacing w:before="0" w:after="60"/>
        <w:ind w:left="0"/>
      </w:pPr>
      <w:r>
        <w:rPr>
          <w:sz w:val="22"/>
        </w:rPr>
        <w:t>Since our January visit I have made the following changes and I want you to have the record of them.</w:t>
      </w:r>
    </w:p>
    <w:p>
      <w:pPr>
        <w:spacing w:before="0" w:after="0"/>
      </w:pPr>
    </w:p>
    <w:p>
      <w:pPr>
        <w:spacing w:before="0" w:after="60"/>
        <w:ind w:left="0"/>
      </w:pPr>
      <w:r>
        <w:rPr>
          <w:sz w:val="22"/>
        </w:rPr>
        <w:t>I stopped buying white bread entirely. I switched to a whole grain oat loaf that my granddaughter Emily, who is studying pharmacology at Emberglen, says has a lower glycemic index. I have reduced my portion of rice and potato at supper to roughly a quarter cup. I will be honest that I do not love this. Pot roast has always meant more than a quarter cup of potato. But I am doing it.</w:t>
      </w:r>
    </w:p>
    <w:p>
      <w:pPr>
        <w:spacing w:before="0" w:after="0"/>
      </w:pPr>
    </w:p>
    <w:p>
      <w:pPr>
        <w:spacing w:before="0" w:after="60"/>
        <w:ind w:left="0"/>
      </w:pPr>
      <w:r>
        <w:rPr>
          <w:sz w:val="22"/>
        </w:rPr>
        <w:t>I have been more consistent with my cinnamon tea first thing in the morning, before anything else goes into my system, and I have been adding a tablespoon of apple cider vinegar to a glass of water before my main meal. I know you tolerate these practices rather than endorse them, and I am not asking you to endorse them now. I only want you to know I use them alongside the Metformin, not in place of it, and that I would not change or reduce the Metformin without speaking with you.</w:t>
      </w:r>
    </w:p>
    <w:p>
      <w:pPr>
        <w:spacing w:before="0" w:after="0"/>
      </w:pPr>
    </w:p>
    <w:p>
      <w:pPr>
        <w:spacing w:before="0" w:after="60"/>
        <w:ind w:left="0"/>
      </w:pPr>
      <w:r>
        <w:rPr>
          <w:sz w:val="22"/>
        </w:rPr>
        <w:t>My fasting readings over the six weeks since January have been between 118 and 148. The lower end has been on mornings after lighter suppers. I am logging them daily.</w:t>
      </w:r>
    </w:p>
    <w:p>
      <w:pPr>
        <w:spacing w:before="0" w:after="0"/>
      </w:pPr>
    </w:p>
    <w:p>
      <w:pPr>
        <w:spacing w:before="0" w:after="60"/>
        <w:ind w:left="0"/>
      </w:pPr>
      <w:r>
        <w:rPr>
          <w:sz w:val="22"/>
        </w:rPr>
        <w:t>What I would like to discuss at our next appointment is whether there is any specific adjustment to my diet or to the timing of the Glipizide that might help before we come to a conversation about insulin. I am not saying I will refuse insulin if the evidence points there. What I am saying is that I want to understand exactly what change in my numbers would make it necessary rather than optional, so that I am making an informed decision and not just a frightened one.</w:t>
      </w:r>
    </w:p>
    <w:p>
      <w:pPr>
        <w:spacing w:before="0" w:after="0"/>
      </w:pPr>
    </w:p>
    <w:p>
      <w:pPr>
        <w:spacing w:before="0" w:after="60"/>
        <w:ind w:left="0"/>
      </w:pPr>
      <w:r>
        <w:rPr>
          <w:sz w:val="22"/>
        </w:rPr>
        <w:t>I have my BSN and thirty-eight years of nursing behind me. I ask you to bring me into the reasoning, not just the conclusion.</w:t>
      </w:r>
    </w:p>
    <w:p>
      <w:pPr>
        <w:spacing w:before="0" w:after="0"/>
      </w:pPr>
    </w:p>
    <w:p>
      <w:pPr>
        <w:spacing w:before="0" w:after="60"/>
        <w:ind w:left="0"/>
      </w:pPr>
      <w:r>
        <w:rPr>
          <w:sz w:val="22"/>
        </w:rPr>
        <w:t>Karen is aware of the situation and will accompany me if you feel that would be useful. She is reachable at (207) 555-0142.</w:t>
      </w:r>
    </w:p>
    <w:p>
      <w:pPr>
        <w:spacing w:before="0" w:after="0"/>
      </w:pPr>
    </w:p>
    <w:p>
      <w:pPr>
        <w:spacing w:before="0" w:after="60"/>
        <w:ind w:left="0"/>
      </w:pPr>
      <w:r>
        <w:rPr>
          <w:sz w:val="22"/>
        </w:rPr>
        <w:t>Thank you for the time and care you have given me for fifteen years.</w:t>
      </w:r>
    </w:p>
    <w:p>
      <w:pPr>
        <w:spacing w:before="0" w:after="0"/>
      </w:pPr>
    </w:p>
    <w:p>
      <w:pPr>
        <w:spacing w:before="0" w:after="60"/>
        <w:ind w:left="0"/>
      </w:pPr>
      <w:r>
        <w:rPr>
          <w:sz w:val="22"/>
        </w:rPr>
        <w:t>Sincerely,</w:t>
      </w:r>
    </w:p>
    <w:p>
      <w:pPr>
        <w:spacing w:before="0" w:after="60"/>
        <w:ind w:left="0"/>
      </w:pPr>
      <w:r>
        <w:rPr>
          <w:sz w:val="22"/>
        </w:rPr>
        <w:t>Joanne Lawton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