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Draft. Not yet sent.</w:t>
      </w:r>
    </w:p>
    <w:p>
      <w:r>
        <w:rPr>
          <w:b/>
          <w:sz w:val="30"/>
        </w:rPr>
        <w:t>Letter to the Editor</w:t>
      </w:r>
    </w:p>
    <w:p>
      <w:r>
        <w:t>To: The Capital Gazette, Letters to the Editor</w:t>
      </w:r>
    </w:p>
    <w:p>
      <w:r>
        <w:t>From: Juan Hernandez, West Annapolis</w:t>
      </w:r>
    </w:p>
    <w:p>
      <w:r>
        <w:t>Date: February 24, 2026</w:t>
      </w:r>
    </w:p>
    <w:p>
      <w:r>
        <w:t>Subject: Protecting the forested buffer along the Severn</w:t>
      </w:r>
    </w:p>
    <w:p>
      <w:r>
        <w:t>To the editor,</w:t>
      </w:r>
    </w:p>
    <w:p>
      <w:r>
        <w:t>I read with interest the county council notice on the proposed setback changes for new construction near the Severn River. Having spent thirty five years on land management policy at the Department of the Interior, I want to offer a plain point that often gets lost in these debates.</w:t>
      </w:r>
    </w:p>
    <w:p>
      <w:r>
        <w:t>A forested buffer is not decoration. It is working infrastructure. The trees and undergrowth along a shoreline slow stormwater, trap sediment, and keep nitrogen out of the water before it reaches the bay. Weaken the setback by even a few yards across hundreds of lots and the cumulative loss is real, even if no single permit looks harmful on its own. That cumulative effect is exactly what a buffer rule exists to prevent.</w:t>
      </w:r>
    </w:p>
    <w:p>
      <w:r>
        <w:t>I do not write to oppose growth. I write to ask that the council weigh the long view. The cost of a wider buffer is borne once, at the drafting table. The cost of a degraded river is paid for decades, by everyone who fishes it, rows on it, or drinks from the watershed that feeds it.</w:t>
      </w:r>
    </w:p>
    <w:p>
      <w:r>
        <w:t>I would urge the council to keep the current setback and to publish the water quality data it relied on so residents can read it for themselves.</w:t>
      </w:r>
    </w:p>
    <w:p>
      <w:r>
        <w:t>Respectfully,</w:t>
      </w:r>
    </w:p>
    <w:p>
      <w:r>
        <w:t>Juan Hernandez</w:t>
      </w:r>
    </w:p>
    <w:p>
      <w:r>
        <w:t>West Annapolis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