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Course Notes</w:t>
      </w:r>
    </w:p>
    <w:p>
      <w:r>
        <w:t>The History of Climate Policy, Cornerstone Learning platform</w:t>
      </w:r>
    </w:p>
    <w:p>
      <w:r>
        <w:t>Module 4: From Stockholm to the Framework Convention</w:t>
      </w:r>
    </w:p>
    <w:p>
      <w:r>
        <w:t>Notes taken February 17, 2026</w:t>
      </w:r>
    </w:p>
    <w:p>
      <w:r>
        <w:rPr>
          <w:b/>
          <w:sz w:val="24"/>
        </w:rPr>
        <w:t>Key dates to hold in mind</w:t>
      </w:r>
    </w:p>
    <w:p>
      <w:r>
        <w:t>1972, Stockholm Conference. First time the environment is treated as a global concern at the United Nations level. Sets up the UN Environment Programme.</w:t>
      </w:r>
    </w:p>
    <w:p>
      <w:r>
        <w:t>1987, Montreal Protocol. The model everyone cites. Narrow problem, ozone, clear science, binding targets, and it worked. Worth contrasting with the broader climate effort that followed.</w:t>
      </w:r>
    </w:p>
    <w:p>
      <w:r>
        <w:t>1988, the IPCC is established. Science gets an institutional home.</w:t>
      </w:r>
    </w:p>
    <w:p>
      <w:r>
        <w:t>1992, the Framework Convention at Rio. The architecture, not yet the obligations.</w:t>
      </w:r>
    </w:p>
    <w:p>
      <w:r>
        <w:rPr>
          <w:b/>
          <w:sz w:val="24"/>
        </w:rPr>
        <w:t>My own margin note</w:t>
      </w:r>
    </w:p>
    <w:p>
      <w:r>
        <w:t>The lecturer frames Montreal as proof that international agreement is possible. True, but the comparison flatters. Ozone had a small number of chemicals and a handful of manufacturers. Carbon is woven into every economy on earth. The lesson I would draw is narrower than hers. Binding targets work when the cost falls on a few and the benefit is shared by all. Climate reverses that ratio, which is the whole difficulty.</w:t>
      </w:r>
    </w:p>
    <w:p>
      <w:r>
        <w:rPr>
          <w:b/>
          <w:sz w:val="24"/>
        </w:rPr>
        <w:t>To follow up</w:t>
      </w:r>
    </w:p>
    <w:p>
      <w:r>
        <w:t>Pull the original Framework Convention text for the lecture. Some of this connects directly to the stewardship argument I am building for Bayview.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