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Local 247 Position Statement, Case GR-2025-0417</w:t>
      </w:r>
    </w:p>
    <w:p>
      <w:r>
        <w:t>CONFIDENTIAL. Prepared for the arbitration of the discharge grievance of member R. Holloway. For union representatives and counsel only.</w:t>
      </w:r>
    </w:p>
    <w:p>
      <w:r>
        <w:rPr>
          <w:b/>
        </w:rPr>
        <w:t>Statement of the Issue</w:t>
      </w:r>
    </w:p>
    <w:p>
      <w:r>
        <w:t>Whether the employer, Irongate Motor Assembly Plant, had just cause under Article 14 of the master agreement to discharge the grievant, a twenty year employee, and if not, what the remedy shall be.</w:t>
      </w:r>
    </w:p>
    <w:p>
      <w:r>
        <w:rPr>
          <w:b/>
        </w:rPr>
        <w:t>Background</w:t>
      </w:r>
    </w:p>
    <w:p>
      <w:r>
        <w:t>The grievant was discharged on October 27, 2025 for an alleged attendance violation. The grievant has twenty years of service on the chassis line with a record that, until this matter, supported continued employment. The grievance was filed at Step 1 on October 30, 2025, denied at Step 2 on November 18, 2025, and advanced to Step 3 on December 9, 2025.</w:t>
      </w:r>
    </w:p>
    <w:p>
      <w:r>
        <w:rPr>
          <w:b/>
        </w:rPr>
        <w:t>Argument</w:t>
      </w:r>
    </w:p>
    <w:p>
      <w:r>
        <w:t>First, the discipline does not satisfy progressive discipline. The contract requires escalating steps before discharge, and the record skips them. Second, the two prior write ups the employer relies upon fall outside the twelve month rollback window and may not be counted under the agreement. Third, the penalty of discharge is not proportional to the alleged offense for an employee of this tenure and record.</w:t>
      </w:r>
    </w:p>
    <w:p>
      <w:r>
        <w:rPr>
          <w:b/>
        </w:rPr>
        <w:t>Relief Requested</w:t>
      </w:r>
    </w:p>
    <w:p>
      <w:r>
        <w:t>Immediate reinstatement at full seniority, full back pay and restoration of benefits from the date of discharge, and removal of the discharge and the stale write ups from the personnel file.</w:t>
      </w:r>
    </w:p>
    <w:p>
      <w:r>
        <w:t>Prepared by Shawn Dawson, Steward, in coordination with Carla Simmons, Vice President, Local 247.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