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i w:val="false"/>
          <w:iCs w:val="false"/>
          <w:sz w:val="26"/>
          <w:szCs w:val="26"/>
        </w:rPr>
        <w:t xml:space="preserve">Multnomah County Clean Water Coalition</w:t>
      </w:r>
    </w:p>
    <w:p>
      <w:pPr>
        <w:spacing w:after="60"/>
        <w:jc w:val="center"/>
      </w:pPr>
      <w:r>
        <w:rPr>
          <w:rFonts w:ascii="Calibri" w:cs="Calibri" w:eastAsia="Calibri" w:hAnsi="Calibri"/>
          <w:b/>
          <w:bCs/>
          <w:i w:val="false"/>
          <w:iCs w:val="false"/>
          <w:sz w:val="22"/>
          <w:szCs w:val="22"/>
        </w:rPr>
        <w:t xml:space="preserve">2026 Annual Report</w:t>
      </w:r>
    </w:p>
    <w:p>
      <w:pPr>
        <w:spacing w:after="200"/>
        <w:jc w:val="center"/>
      </w:pPr>
      <w:r>
        <w:rPr>
          <w:rFonts w:ascii="Calibri" w:cs="Calibri" w:eastAsia="Calibri" w:hAnsi="Calibri"/>
          <w:b/>
          <w:bCs/>
          <w:i w:val="false"/>
          <w:iCs w:val="false"/>
          <w:sz w:val="22"/>
          <w:szCs w:val="22"/>
        </w:rPr>
        <w:t xml:space="preserve">Section 4, Water Quality Testing Program</w:t>
      </w:r>
    </w:p>
    <w:p>
      <w:pPr>
        <w:spacing w:after="240"/>
        <w:jc w:val="left"/>
      </w:pPr>
      <w:r>
        <w:rPr>
          <w:rFonts w:ascii="Calibri" w:cs="Calibri" w:eastAsia="Calibri" w:hAnsi="Calibri"/>
          <w:b w:val="false"/>
          <w:bCs w:val="false"/>
          <w:i/>
          <w:iCs/>
          <w:sz w:val="22"/>
          <w:szCs w:val="22"/>
        </w:rPr>
        <w:t xml:space="preserve">Prepared by Stuart Myer, Water Quality Testing Lead. Draft of October 20, 2026, due to David Cortez by November 1, 2026.</w:t>
      </w:r>
    </w:p>
    <w:p>
      <w:pPr>
        <w:spacing w:after="160"/>
        <w:jc w:val="left"/>
      </w:pPr>
      <w:r>
        <w:rPr>
          <w:rFonts w:ascii="Calibri" w:cs="Calibri" w:eastAsia="Calibri" w:hAnsi="Calibri"/>
          <w:b/>
          <w:bCs/>
          <w:i w:val="false"/>
          <w:iCs w:val="false"/>
          <w:sz w:val="24"/>
          <w:szCs w:val="24"/>
        </w:rPr>
        <w:t xml:space="preserve">Program overview</w:t>
      </w:r>
    </w:p>
    <w:p>
      <w:pPr>
        <w:spacing w:after="160"/>
        <w:jc w:val="left"/>
      </w:pPr>
      <w:r>
        <w:rPr>
          <w:rFonts w:ascii="Calibri" w:cs="Calibri" w:eastAsia="Calibri" w:hAnsi="Calibri"/>
          <w:b w:val="false"/>
          <w:bCs w:val="false"/>
          <w:i w:val="false"/>
          <w:iCs w:val="false"/>
          <w:sz w:val="22"/>
          <w:szCs w:val="22"/>
        </w:rPr>
        <w:t xml:space="preserve">In 2026 the Coalition maintained citizen monitoring at fourteen river sites across eastern Multnomah County, covering the Sandy River, Johnson Creek, Kelley Creek, Crystal Springs, the Columbia Slough, Fairview Creek, Fairview Lake, Gresham Creek, Salmon Creek, and the Columbia River mainstem. Volunteers completed three sampling rounds during the reporting period, in November 2025, February 2026, and October 2026, with training delivered through our Google Classroom onboarding.</w:t>
      </w:r>
    </w:p>
    <w:p>
      <w:pPr>
        <w:spacing w:after="160"/>
        <w:jc w:val="left"/>
      </w:pPr>
      <w:r>
        <w:rPr>
          <w:rFonts w:ascii="Calibri" w:cs="Calibri" w:eastAsia="Calibri" w:hAnsi="Calibri"/>
          <w:b/>
          <w:bCs/>
          <w:i w:val="false"/>
          <w:iCs w:val="false"/>
          <w:sz w:val="24"/>
          <w:szCs w:val="24"/>
        </w:rPr>
        <w:t xml:space="preserve">Methods</w:t>
      </w:r>
    </w:p>
    <w:p>
      <w:pPr>
        <w:spacing w:after="160"/>
        <w:jc w:val="left"/>
      </w:pPr>
      <w:r>
        <w:rPr>
          <w:rFonts w:ascii="Calibri" w:cs="Calibri" w:eastAsia="Calibri" w:hAnsi="Calibri"/>
          <w:b w:val="false"/>
          <w:bCs w:val="false"/>
          <w:i w:val="false"/>
          <w:iCs w:val="false"/>
          <w:sz w:val="22"/>
          <w:szCs w:val="22"/>
        </w:rPr>
        <w:t xml:space="preserve">Samples were collected in the field, chilled, and entered into the Coalition Airtable base, organized by site, date, and contaminant. Phosphorus was measured in milligrams per liter and PFAS in nanograms per liter. We compared results against the state phosphorus guidance threshold of 0.1 milligrams per liter and the federal PFAS action level of 4 nanograms per liter.</w:t>
      </w:r>
    </w:p>
    <w:p>
      <w:pPr>
        <w:spacing w:after="160"/>
        <w:jc w:val="left"/>
      </w:pPr>
      <w:r>
        <w:rPr>
          <w:rFonts w:ascii="Calibri" w:cs="Calibri" w:eastAsia="Calibri" w:hAnsi="Calibri"/>
          <w:b/>
          <w:bCs/>
          <w:i w:val="false"/>
          <w:iCs w:val="false"/>
          <w:sz w:val="24"/>
          <w:szCs w:val="24"/>
        </w:rPr>
        <w:t xml:space="preserve">Key findings</w:t>
      </w:r>
    </w:p>
    <w:p>
      <w:pPr>
        <w:spacing w:after="160"/>
        <w:jc w:val="left"/>
      </w:pPr>
      <w:r>
        <w:rPr>
          <w:rFonts w:ascii="Calibri" w:cs="Calibri" w:eastAsia="Calibri" w:hAnsi="Calibri"/>
          <w:b w:val="false"/>
          <w:bCs w:val="false"/>
          <w:i w:val="false"/>
          <w:iCs w:val="false"/>
          <w:sz w:val="22"/>
          <w:szCs w:val="22"/>
        </w:rPr>
        <w:t xml:space="preserve">Of the fourteen sites, thirteen remained below the phosphorus threshold during the October round and one, Site 12 on Fairview Creek, exceeded it at 0.112 milligrams per liter. Site 12 sits directly downstream of the parcel named in CAFO permit application CAFO-2026-0473 and has climbed across all three rounds, from 0.082 to 0.089 to 0.112. Site 9 on Johnson Creek is approaching the threshold at 0.094. Four sites returned PFAS above the action level, the highest again at Site 12 at 11.2 nanograms per liter.</w:t>
      </w:r>
    </w:p>
    <w:p>
      <w:pPr>
        <w:spacing w:after="160"/>
        <w:jc w:val="left"/>
      </w:pPr>
      <w:r>
        <w:rPr>
          <w:rFonts w:ascii="Calibri" w:cs="Calibri" w:eastAsia="Calibri" w:hAnsi="Calibri"/>
          <w:b/>
          <w:bCs/>
          <w:i w:val="false"/>
          <w:iCs w:val="false"/>
          <w:sz w:val="24"/>
          <w:szCs w:val="24"/>
        </w:rPr>
        <w:t xml:space="preserve">Recommendations</w:t>
      </w:r>
    </w:p>
    <w:p>
      <w:pPr>
        <w:spacing w:after="160"/>
        <w:jc w:val="left"/>
      </w:pPr>
      <w:r>
        <w:rPr>
          <w:rFonts w:ascii="Calibri" w:cs="Calibri" w:eastAsia="Calibri" w:hAnsi="Calibri"/>
          <w:b w:val="false"/>
          <w:bCs w:val="false"/>
          <w:i w:val="false"/>
          <w:iCs w:val="false"/>
          <w:sz w:val="22"/>
          <w:szCs w:val="22"/>
        </w:rPr>
        <w:t xml:space="preserve">We recommend that the Coalition formally enter the Site 12 exceedance into the county hearing record, continue monthly sampling at Sites 9, 10, 11, and 12 through the winter, and request independent downstream monitoring as a condition of any CAFO permit. We also recommend expanding the volunteer roster so that the two highest priority sites can be sampled every two weeks.</w:t>
      </w:r>
    </w:p>
    <w:p>
      <w:pPr>
        <w:spacing w:after="160"/>
        <w:jc w:val="left"/>
      </w:pPr>
      <w:r>
        <w:rPr>
          <w:rFonts w:ascii="Calibri" w:cs="Calibri" w:eastAsia="Calibri" w:hAnsi="Calibri"/>
          <w:b w:val="false"/>
          <w:bCs w:val="false"/>
          <w:i/>
          <w:iCs/>
          <w:sz w:val="18"/>
          <w:szCs w:val="18"/>
        </w:rPr>
        <w:t xml:space="preserve">Data for this section is current as of the October 10, 2026 round. Final figures should be reconciled against the Airtable base before publication.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2026-06-06T09:10:45.973Z</dcterms:created>
  <dcterms:modified xsi:type="dcterms:W3CDTF">2026-06-06T09:10:45.973Z</dcterms:modified>
</cp:coreProperties>
</file>

<file path=docProps/custom.xml><?xml version="1.0" encoding="utf-8"?>
<Properties xmlns="http://schemas.openxmlformats.org/officeDocument/2006/custom-properties" xmlns:vt="http://schemas.openxmlformats.org/officeDocument/2006/docPropsVTypes"/>
</file>