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The Reference Interview in Practice</w:t>
      </w:r>
    </w:p>
    <w:p>
      <w:r>
        <w:rPr>
          <w:sz w:val="24"/>
        </w:rPr>
        <w:t>Guest lecture for the Hartford Graduate Institute, Library Science program. January 2026. Ninety minutes, with time for questions, which are the point.</w:t>
      </w:r>
    </w:p>
    <w:p>
      <w:r>
        <w:rPr>
          <w:b/>
          <w:sz w:val="26"/>
        </w:rPr>
        <w:t>Opening</w:t>
      </w:r>
    </w:p>
    <w:p>
      <w:r>
        <w:rPr>
          <w:sz w:val="24"/>
        </w:rPr>
        <w:t>Thirty-two years behind a reference desk taught me one thing above all others: most questions have an answer somewhere, and the work is knowing which shelf to look on. The patron rarely asks the question they actually mean. Our job is to find the real one, gently.</w:t>
      </w:r>
    </w:p>
    <w:p>
      <w:r>
        <w:rPr>
          <w:b/>
          <w:sz w:val="26"/>
        </w:rPr>
        <w:t>I. The question behind the question</w:t>
      </w:r>
    </w:p>
    <w:p>
      <w:r>
        <w:rPr>
          <w:sz w:val="24"/>
        </w:rPr>
        <w:t>People ask for a fact and need a decision. They ask for a book and need reassurance. Listen for the shape of the need, not just the words. The open follow-up does more work than any database.</w:t>
      </w:r>
    </w:p>
    <w:p>
      <w:r>
        <w:rPr>
          <w:b/>
          <w:sz w:val="26"/>
        </w:rPr>
        <w:t>II. The four moves</w:t>
      </w:r>
    </w:p>
    <w:p>
      <w:r>
        <w:rPr>
          <w:sz w:val="24"/>
        </w:rPr>
        <w:t>Welcome the question. Restate it back to confirm. Negotiate the scope before you search. Follow up to make sure you actually helped. Skip the third move and you will answer a question no one asked.</w:t>
      </w:r>
    </w:p>
    <w:p>
      <w:r>
        <w:rPr>
          <w:b/>
          <w:sz w:val="26"/>
        </w:rPr>
        <w:t>III. Sources, in order</w:t>
      </w:r>
    </w:p>
    <w:p>
      <w:r>
        <w:rPr>
          <w:sz w:val="24"/>
        </w:rPr>
        <w:t>Start broad and reputable, then narrow. Know your reference collection by hand, not just by catalog. A good librarian is a map of the building before they are a search box.</w:t>
      </w:r>
    </w:p>
    <w:p>
      <w:r>
        <w:rPr>
          <w:b/>
          <w:sz w:val="26"/>
        </w:rPr>
        <w:t>IV. Recognition</w:t>
      </w:r>
    </w:p>
    <w:p>
      <w:r>
        <w:rPr>
          <w:sz w:val="24"/>
        </w:rPr>
        <w:t>Meet the patron as they are. Use the name and the words they give you for themselves. Recognition is not a courtesy on top of the work. It is the work.</w:t>
      </w:r>
    </w:p>
    <w:p>
      <w:r>
        <w:rPr>
          <w:b/>
          <w:sz w:val="26"/>
        </w:rPr>
        <w:t>Closing and discussion</w:t>
      </w:r>
    </w:p>
    <w:p>
      <w:r>
        <w:rPr>
          <w:sz w:val="24"/>
        </w:rPr>
        <w:t>I will tell the story of the man who asked for books on knots and was planning to leave his marriage, and what the right follow-up surfaced. Then your questions. Bring the hard 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2026-02-06T15:05:00Z</dcterms:created>
  <dcterms:modified xsi:type="dcterms:W3CDTF">2026-02-06T15:05:00Z</dcterms:modified>
  <cp:category/>
</cp:coreProperties>
</file>