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of Understanding</w:t>
      </w:r>
    </w:p>
    <w:p>
      <w:pPr>
        <w:pStyle w:val="Heading2"/>
      </w:pPr>
      <w:r>
        <w:t>Kensington Community Development Corporation and Porter and Koval Plumbing LLC, 2026</w:t>
      </w:r>
    </w:p>
    <w:p>
      <w:r>
        <w:t>This Memorandum of Understanding is entered into on 2026-09-12 between the Kensington Community Development Corporation, represented by Carlos Mendez in his role as Community Programs Director, and Porter and Koval Plumbing LLC, represented by Emily Porter in her role as Owner and Master Plumber of Record. The intent of the memorandum is to set the shared expectations for two community workdays per year at the Kensington Community Garden located on East Allegheny Avenue in the Kensington neighborhood of Philadelphia for the calendar year 2026.</w:t>
      </w:r>
    </w:p>
    <w:p>
      <w:r>
        <w:t>Porter and Koval Plumbing LLC commits to provide volunteer labor for two workdays per year, one in the spring season and one in the fall season. The fall workday for 2026 is scheduled for Saturday 2026-10-24 with a gate opening time of 06:00 ET. The crew commitment is the full Porter and Koval field crew when scheduling allows, with a minimum of two crew leads on site for safety supervision. Porter and Koval also commits to donate material support up to a ceiling of three thousand dollars per workday for items such as mulch, drain caps, tarps, irrigation antifreeze, and small hand tools that the garden needs for the season.</w:t>
      </w:r>
    </w:p>
    <w:p>
      <w:r>
        <w:t>The Kensington Community Development Corporation commits to provide on site coordination for both workdays through Carlos Mendez or a named delegate. The coordination scope includes volunteer recruitment, sign in management at the East Allegheny Avenue gate, port a john rental for the duration of the workday, hot coffee and pastry for the volunteer break at the half way point, and the workday safety briefing at the gate before any tools come out of the shed. The Kensington CDC also commits to publish the workday in the neighborhood newsletter at least three weeks in advance.</w:t>
      </w:r>
    </w:p>
    <w:p>
      <w:r>
        <w:t>Neither party may use the partnership in any commercial marketing surface for Porter and Koval Plumbing or in any fundraising surface for the Kensington Community Development Corporation without prior written approval from the other party. The intent is to keep the workday as a community labor donation rather than a marketing event for either party. The fall workday will be referenced in the Porter and Koval year end customer newsletter as a one paragraph anchor without any photograph that identifies an individual volunteer.</w:t>
      </w:r>
    </w:p>
    <w:p>
      <w:r>
        <w:t>The partnership term covered by this memorandum is the calendar year 2026. The renewal conversation for 2027 is on the calendar for the January 2027 partner check in between Carlos Mendez and Emily Porter. Either party may suspend the partnership in writing with thirty days notice if the season conditions do not support a workday.</w:t>
      </w:r>
    </w:p>
    <w:p>
      <w:r>
        <w:t>Signatures. Carlos Mendez, Community Programs Director, Kensington Community Development Corporation, 2026-09-12. Emily Porter, Owner and Master Plumber of Record, Porter and Koval Plumbing LLC, 2026-09-12.</w:t>
      </w:r>
    </w:p>
    <w:p>
      <w:pPr>
        <w:pStyle w:val="Heading2"/>
      </w:pPr>
      <w:r>
        <w:t>Commitment table for the 2026 workdays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Commitment</w:t>
            </w:r>
          </w:p>
        </w:tc>
        <w:tc>
          <w:tcPr>
            <w:tcW w:type="dxa" w:w="2340"/>
          </w:tcPr>
          <w:p>
            <w:r>
              <w:rPr>
                <w:b/>
              </w:rPr>
              <w:t>Owner</w:t>
            </w:r>
          </w:p>
        </w:tc>
        <w:tc>
          <w:tcPr>
            <w:tcW w:type="dxa" w:w="2340"/>
          </w:tcPr>
          <w:p>
            <w:r>
              <w:rPr>
                <w:b/>
              </w:rPr>
              <w:t>Spring 2026</w:t>
            </w:r>
          </w:p>
        </w:tc>
        <w:tc>
          <w:tcPr>
            <w:tcW w:type="dxa" w:w="2340"/>
          </w:tcPr>
          <w:p>
            <w:r>
              <w:rPr>
                <w:b/>
              </w:rPr>
              <w:t>Fall 2026</w:t>
            </w:r>
          </w:p>
        </w:tc>
      </w:tr>
      <w:tr>
        <w:tc>
          <w:tcPr>
            <w:tcW w:type="dxa" w:w="2340"/>
          </w:tcPr>
          <w:p>
            <w:r>
              <w:t>Volunteer labor</w:t>
            </w:r>
          </w:p>
        </w:tc>
        <w:tc>
          <w:tcPr>
            <w:tcW w:type="dxa" w:w="2340"/>
          </w:tcPr>
          <w:p>
            <w:r>
              <w:t>Porter and Koval Plumbing</w:t>
            </w:r>
          </w:p>
        </w:tc>
        <w:tc>
          <w:tcPr>
            <w:tcW w:type="dxa" w:w="2340"/>
          </w:tcPr>
          <w:p>
            <w:r>
              <w:t>Full crew, 2 leads on site</w:t>
            </w:r>
          </w:p>
        </w:tc>
        <w:tc>
          <w:tcPr>
            <w:tcW w:type="dxa" w:w="2340"/>
          </w:tcPr>
          <w:p>
            <w:r>
              <w:t>Full crew, 2 leads on site</w:t>
            </w:r>
          </w:p>
        </w:tc>
      </w:tr>
      <w:tr>
        <w:tc>
          <w:tcPr>
            <w:tcW w:type="dxa" w:w="2340"/>
          </w:tcPr>
          <w:p>
            <w:r>
              <w:t>Material donation ceiling</w:t>
            </w:r>
          </w:p>
        </w:tc>
        <w:tc>
          <w:tcPr>
            <w:tcW w:type="dxa" w:w="2340"/>
          </w:tcPr>
          <w:p>
            <w:r>
              <w:t>Porter and Koval Plumbing</w:t>
            </w:r>
          </w:p>
        </w:tc>
        <w:tc>
          <w:tcPr>
            <w:tcW w:type="dxa" w:w="2340"/>
          </w:tcPr>
          <w:p>
            <w:r>
              <w:t>$3,000.00</w:t>
            </w:r>
          </w:p>
        </w:tc>
        <w:tc>
          <w:tcPr>
            <w:tcW w:type="dxa" w:w="2340"/>
          </w:tcPr>
          <w:p>
            <w:r>
              <w:t>$3,000.00</w:t>
            </w:r>
          </w:p>
        </w:tc>
      </w:tr>
      <w:tr>
        <w:tc>
          <w:tcPr>
            <w:tcW w:type="dxa" w:w="2340"/>
          </w:tcPr>
          <w:p>
            <w:r>
              <w:t>On site coordination</w:t>
            </w:r>
          </w:p>
        </w:tc>
        <w:tc>
          <w:tcPr>
            <w:tcW w:type="dxa" w:w="2340"/>
          </w:tcPr>
          <w:p>
            <w:r>
              <w:t>Kensington CDC</w:t>
            </w:r>
          </w:p>
        </w:tc>
        <w:tc>
          <w:tcPr>
            <w:tcW w:type="dxa" w:w="2340"/>
          </w:tcPr>
          <w:p>
            <w:r>
              <w:t>Carlos Mendez</w:t>
            </w:r>
          </w:p>
        </w:tc>
        <w:tc>
          <w:tcPr>
            <w:tcW w:type="dxa" w:w="2340"/>
          </w:tcPr>
          <w:p>
            <w:r>
              <w:t>Carlos Mendez</w:t>
            </w:r>
          </w:p>
        </w:tc>
      </w:tr>
      <w:tr>
        <w:tc>
          <w:tcPr>
            <w:tcW w:type="dxa" w:w="2340"/>
          </w:tcPr>
          <w:p>
            <w:r>
              <w:t>Volunteer recruitment</w:t>
            </w:r>
          </w:p>
        </w:tc>
        <w:tc>
          <w:tcPr>
            <w:tcW w:type="dxa" w:w="2340"/>
          </w:tcPr>
          <w:p>
            <w:r>
              <w:t>Kensington CDC</w:t>
            </w:r>
          </w:p>
        </w:tc>
        <w:tc>
          <w:tcPr>
            <w:tcW w:type="dxa" w:w="2340"/>
          </w:tcPr>
          <w:p>
            <w:r>
              <w:t>Yes</w:t>
            </w:r>
          </w:p>
        </w:tc>
        <w:tc>
          <w:tcPr>
            <w:tcW w:type="dxa" w:w="2340"/>
          </w:tcPr>
          <w:p>
            <w:r>
              <w:t>Yes</w:t>
            </w:r>
          </w:p>
        </w:tc>
      </w:tr>
      <w:tr>
        <w:tc>
          <w:tcPr>
            <w:tcW w:type="dxa" w:w="2340"/>
          </w:tcPr>
          <w:p>
            <w:r>
              <w:t>Safety briefing at gate</w:t>
            </w:r>
          </w:p>
        </w:tc>
        <w:tc>
          <w:tcPr>
            <w:tcW w:type="dxa" w:w="2340"/>
          </w:tcPr>
          <w:p>
            <w:r>
              <w:t>Kensington CDC</w:t>
            </w:r>
          </w:p>
        </w:tc>
        <w:tc>
          <w:tcPr>
            <w:tcW w:type="dxa" w:w="2340"/>
          </w:tcPr>
          <w:p>
            <w:r>
              <w:t>Yes</w:t>
            </w:r>
          </w:p>
        </w:tc>
        <w:tc>
          <w:tcPr>
            <w:tcW w:type="dxa" w:w="2340"/>
          </w:tcPr>
          <w:p>
            <w:r>
              <w:t>Yes</w:t>
            </w:r>
          </w:p>
        </w:tc>
      </w:tr>
      <w:tr>
        <w:tc>
          <w:tcPr>
            <w:tcW w:type="dxa" w:w="2340"/>
          </w:tcPr>
          <w:p>
            <w:r>
              <w:t>Neighborhood newsletter notice</w:t>
            </w:r>
          </w:p>
        </w:tc>
        <w:tc>
          <w:tcPr>
            <w:tcW w:type="dxa" w:w="2340"/>
          </w:tcPr>
          <w:p>
            <w:r>
              <w:t>Kensington CDC</w:t>
            </w:r>
          </w:p>
        </w:tc>
        <w:tc>
          <w:tcPr>
            <w:tcW w:type="dxa" w:w="2340"/>
          </w:tcPr>
          <w:p>
            <w:r>
              <w:t>3 weeks before</w:t>
            </w:r>
          </w:p>
        </w:tc>
        <w:tc>
          <w:tcPr>
            <w:tcW w:type="dxa" w:w="2340"/>
          </w:tcPr>
          <w:p>
            <w:r>
              <w:t>3 weeks before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Memorandum of Understanding  |  Kensington CDC and Porter &amp; Koval Plumbing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