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Porter &amp; Koval Plumbing LLC</w:t>
      </w:r>
    </w:p>
    <w:p>
      <w:pPr>
        <w:pStyle w:val="Heading2"/>
      </w:pPr>
      <w:r>
        <w:t>Operating Reserve Policy Memo, October 1 2026</w:t>
      </w:r>
    </w:p>
    <w:p>
      <w:r>
        <w:t>Author: Emily Porter, Owner and Master Plumber of Record. Circulation: Kevin Koval, Partner. This memo restates the partner agreement on the operating reserve policy for the shop, the funding cadence, the trigger conditions for a draw, and the reporting cadence for the partner check in. It is filed as the canonical reference for any future question on the reserve target and on the live balance.</w:t>
      </w:r>
    </w:p>
    <w:p>
      <w:r>
        <w:t>Reserve target. The partner agreed reserve target is twenty eight thousand dollars flat. The target was set in the August 2026 partner meeting after a review of three lean season scenarios. The driver for the figure is six weeks of payroll for a four person crew at the lean season payroll rate of roughly forty six hundred dollars a week for the crew including the partner draw. The figure carries a small buffer for one round of insurance renewal and one round of vehicle registration that fall in the late fall window.</w:t>
      </w:r>
    </w:p>
    <w:p>
      <w:r>
        <w:t>Funding cadence. The shop runs an auto transfer on the first business day of each month from the Univest Business Checking account into the Univest Business Operating Reserve account masked 4471. The recurring transfer is fifteen hundred dollars. The transfer is recorded as a transfer in the Plaid feed and is not flagged as a payment to a vendor. The auto transfer was paused in February and March 2026 during the slow billing window after the holiday and was restored in April. The auto transfer has not been paused since.</w:t>
      </w:r>
    </w:p>
    <w:p>
      <w:r>
        <w:t>Live balance read. The current available balance pulled from Plaid account acc_pk_reserve_001 is 24,180.42. The current ledger balance is also 24,180.42 because there are no pending transactions on the reserve account at this moment. The delta to policy target is 3,819.58 short of twenty eight thousand. The mid October draw on Home Depot mulch and on Sterling Norris materials float pushed the reserve below the policy target for the first time since the late winter slow billing window. The expectation is that the November first auto transfer plus the receipt of the Sterling Norris balance on completion at 2,637.50 net of materials will bring the reserve back within striking distance of policy target by the end of November.</w:t>
      </w:r>
    </w:p>
    <w:p>
      <w:r>
        <w:t>Trigger conditions for a draw. The reserve is not a slush fund for owner discretion. Any draw against the reserve requires both partners to sign off in writing in the shared partner notebook. The four canonical trigger conditions are. One, payroll cash flow gap on a Friday with no expected receipt before the following Wednesday. Two, vehicle replacement or major engine repair on the service van above three thousand dollars. Three, insurance premium spike or deductible call above the operating cushion. Four, owner medical emergency that pulls payroll capacity for more than one pay cycle. Outside those four conditions the reserve is not drawn.</w:t>
      </w:r>
    </w:p>
    <w:p>
      <w:r>
        <w:t>Reporting cadence. The reserve target is stated as a policy figure in the shared partner notes and in the Notion operating reserve memory page. The live balance is read fresh each Monday morning from Plaid by the office administrator and recorded on the weekly cash flow sheet. The delta between policy target and live balance is reported at the weekly partner check in on Tuesday morning. The reserve figure does not appear in any customer facing surface and does not appear in any volunteer facing surface for the Kensington Community Garden workday.</w:t>
      </w:r>
    </w:p>
    <w:p>
      <w:r>
        <w:t>Memory plane note. The persona memory plane carries the policy target of twenty eight thousand dollars and the live balance read should override the policy target when the question is what the operating reserve actually contains right now. The policy target is for planning. The live balance is for any decision that depends on dollars actually available today. The Plaid feed for acc_pk_reserve_001 is the authoritative live read. The memory plane is the authoritative policy read. The two should not be conflated in any single sentence answer.</w:t>
      </w:r>
    </w:p>
    <w:p>
      <w:r>
        <w:t>Signoff. Emily Porter, Owner. Kevin Koval, Partner. Memo accepted as the canonical reserve policy reference for the 2026 fiscal year. Next review window is the January 2027 partner meeting unless an unscheduled draw triggers an earlier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Porter &amp; Koval Plumbing LLC  |  Partner reserve policy memo  |  October 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