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Porter &amp; Koval Plumbing LLC</w:t>
      </w:r>
    </w:p>
    <w:p>
      <w:pPr>
        <w:pStyle w:val="Heading2"/>
      </w:pPr>
      <w:r>
        <w:t>Q3 2026 Profit and Loss Narrative</w:t>
      </w:r>
    </w:p>
    <w:p>
      <w:r>
        <w:t>Author Emily Porter, Owner. Reviewed by Kevin Koval, Partner. Period covered is July 1 2026 through September 30 2026. Source ledgers are QuickBooks Online for revenue and operating expense, the Univest Business Checking and Reserve accounts via Plaid for cash movement, and the truck inventory and supplier bill spreadsheets for cost of goods sold reconciliation.</w:t>
      </w:r>
    </w:p>
    <w:p>
      <w:r>
        <w:t>Headline. Q3 2026 closed with gross revenue of 124,580.00 against direct cost of goods sold of 46,200.00 for a gross margin of 78,380.00. Operating expense ran at 58,900.00. Net operating profit before partner draws was 19,480.00. The prior quarter Q2 2026 closed at a net operating profit of 17,200.00. The lift quarter over quarter was driven by the late August Sterling Property Management closeout block on PK-4203 and by a small bump in the Brewerytown Bagel House and Manayunk Property Group commercial routine maintenance contracts.</w:t>
      </w:r>
    </w:p>
    <w:p>
      <w:r>
        <w:t>Revenue mix. Sterling Property Management contributed 31 percent of Q3 revenue across three closeouts including PK-4203 at 5,260.00 closed on 2026-06-28 and rolled into the July billing window. Brewerytown Bagel House contributed 9 percent. Manayunk Property Group contributed 8 percent. Northgate Veterinary contributed 6 percent. The remainder was spread across residential one off calls and the small commercial maintenance ring. The customer concentration in Sterling Property Management is a stated owner concern and is tracked on the Q4 pipeline sheet.</w:t>
      </w:r>
    </w:p>
    <w:p>
      <w:r>
        <w:t>Direct cost of goods sold. Materials ran at 38 percent of revenue which is one point above the trailing twelve month average. The lift was driven by copper stock pricing in late September and by the Sterling Norris materials draws. Subcontract labor at one point eight percent was below the trailing twelve month average because the shop did not need the rough in subcontractor on any project in Q3. Permit and code stamp pass through fees were within the planning band.</w:t>
      </w:r>
    </w:p>
    <w:p>
      <w:r>
        <w:t>Operating expense. Crew payroll for the four person crew including the partner draw ran at 42,000.00 for the quarter. Vehicle expense including fuel for the service van and the supply pickup ran at 4,200.00. General liability and workers compensation insurance ran at 3,800.00. Marketing including the Brewerytown homeowner referral program and the seasonal Klaviyo SMS pulses ran at 1,200.00. Office expense including the shop rent on the Susquehanna shop space ran at 1,400.00. Miscellaneous including small tool replacements, uniform refresh, and the apprentice tool stipend for Jake ran at 6,300.00.</w:t>
      </w:r>
    </w:p>
    <w:p>
      <w:r>
        <w:t>Q4 outlook. The pipeline carries the PK-4471 Sterling Norris boiler relief job at the authoritative 5,275.00 figure from the DocuSign envelope env_sterling_norris_5275 against the older 4,950.00 on QuickBooks invoice 5031. The clean up of that variance is on the partner action list for the first business day after the Kensington Community Garden workday. The pipeline also carries the Pearl Street rowhouse refund settlement at 315 dollars from Square receipt RCP_INV_2026_09_1147 against the stale 298 dollar figure on Maria Thornton conversational thread. The refund pause above the 300 dollar ceiling is a small drag on the Q4 cash flow but is procedurally correct.</w:t>
      </w:r>
    </w:p>
    <w:p>
      <w:r>
        <w:t>Reserve trajectory. The operating reserve target is 28,000.00 by partner policy. The live balance is 24,180.42 at end of Q3 with a draw against the mulch order and the Sterling Norris materials float in the first three weeks of October. The plan is to restore the reserve to policy target by year end via the November and December auto transfers plus the Sterling Norris completion balance.</w:t>
      </w:r>
    </w:p>
    <w:p>
      <w:r>
        <w:t>Volunteer commitments. The Kensington Community Garden winterization workday scheduled for Saturday 2026-10-24 is a partner labor donation. There is no Q3 expense line for the workday because it falls in Q4 and because the materials donation is a Home Depot bill 7006 line at 2,349.60 for forty bags of mulch that posts in October. The bill is included in the Q4 expense forecast.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Line item</w:t>
            </w:r>
          </w:p>
        </w:tc>
        <w:tc>
          <w:tcPr>
            <w:tcW w:type="dxa" w:w="2340"/>
          </w:tcPr>
          <w:p>
            <w:r>
              <w:rPr>
                <w:b/>
              </w:rPr>
              <w:t>Q2 2026</w:t>
            </w:r>
          </w:p>
        </w:tc>
        <w:tc>
          <w:tcPr>
            <w:tcW w:type="dxa" w:w="2340"/>
          </w:tcPr>
          <w:p>
            <w:r>
              <w:rPr>
                <w:b/>
              </w:rPr>
              <w:t>Q3 2026</w:t>
            </w:r>
          </w:p>
        </w:tc>
        <w:tc>
          <w:tcPr>
            <w:tcW w:type="dxa" w:w="2340"/>
          </w:tcPr>
          <w:p>
            <w:r>
              <w:rPr>
                <w:b/>
              </w:rPr>
              <w:t>Delta</w:t>
            </w:r>
          </w:p>
        </w:tc>
      </w:tr>
      <w:tr>
        <w:tc>
          <w:tcPr>
            <w:tcW w:type="dxa" w:w="2340"/>
          </w:tcPr>
          <w:p>
            <w:r>
              <w:t>Gross revenue</w:t>
            </w:r>
          </w:p>
        </w:tc>
        <w:tc>
          <w:tcPr>
            <w:tcW w:type="dxa" w:w="2340"/>
          </w:tcPr>
          <w:p>
            <w:r>
              <w:t>$118,420.00</w:t>
            </w:r>
          </w:p>
        </w:tc>
        <w:tc>
          <w:tcPr>
            <w:tcW w:type="dxa" w:w="2340"/>
          </w:tcPr>
          <w:p>
            <w:r>
              <w:t>$124,580.00</w:t>
            </w:r>
          </w:p>
        </w:tc>
        <w:tc>
          <w:tcPr>
            <w:tcW w:type="dxa" w:w="2340"/>
          </w:tcPr>
          <w:p>
            <w:r>
              <w:t>+$6,160.00</w:t>
            </w:r>
          </w:p>
        </w:tc>
      </w:tr>
      <w:tr>
        <w:tc>
          <w:tcPr>
            <w:tcW w:type="dxa" w:w="2340"/>
          </w:tcPr>
          <w:p>
            <w:r>
              <w:t>Direct COGS</w:t>
            </w:r>
          </w:p>
        </w:tc>
        <w:tc>
          <w:tcPr>
            <w:tcW w:type="dxa" w:w="2340"/>
          </w:tcPr>
          <w:p>
            <w:r>
              <w:t>$43,180.00</w:t>
            </w:r>
          </w:p>
        </w:tc>
        <w:tc>
          <w:tcPr>
            <w:tcW w:type="dxa" w:w="2340"/>
          </w:tcPr>
          <w:p>
            <w:r>
              <w:t>$46,200.00</w:t>
            </w:r>
          </w:p>
        </w:tc>
        <w:tc>
          <w:tcPr>
            <w:tcW w:type="dxa" w:w="2340"/>
          </w:tcPr>
          <w:p>
            <w:r>
              <w:t>+$3,020.00</w:t>
            </w:r>
          </w:p>
        </w:tc>
      </w:tr>
      <w:tr>
        <w:tc>
          <w:tcPr>
            <w:tcW w:type="dxa" w:w="2340"/>
          </w:tcPr>
          <w:p>
            <w:r>
              <w:t>Gross margin</w:t>
            </w:r>
          </w:p>
        </w:tc>
        <w:tc>
          <w:tcPr>
            <w:tcW w:type="dxa" w:w="2340"/>
          </w:tcPr>
          <w:p>
            <w:r>
              <w:t>$75,240.00</w:t>
            </w:r>
          </w:p>
        </w:tc>
        <w:tc>
          <w:tcPr>
            <w:tcW w:type="dxa" w:w="2340"/>
          </w:tcPr>
          <w:p>
            <w:r>
              <w:t>$78,380.00</w:t>
            </w:r>
          </w:p>
        </w:tc>
        <w:tc>
          <w:tcPr>
            <w:tcW w:type="dxa" w:w="2340"/>
          </w:tcPr>
          <w:p>
            <w:r>
              <w:t>+$3,140.00</w:t>
            </w:r>
          </w:p>
        </w:tc>
      </w:tr>
      <w:tr>
        <w:tc>
          <w:tcPr>
            <w:tcW w:type="dxa" w:w="2340"/>
          </w:tcPr>
          <w:p>
            <w:r>
              <w:t>Crew payroll</w:t>
            </w:r>
          </w:p>
        </w:tc>
        <w:tc>
          <w:tcPr>
            <w:tcW w:type="dxa" w:w="2340"/>
          </w:tcPr>
          <w:p>
            <w:r>
              <w:t>$40,800.00</w:t>
            </w:r>
          </w:p>
        </w:tc>
        <w:tc>
          <w:tcPr>
            <w:tcW w:type="dxa" w:w="2340"/>
          </w:tcPr>
          <w:p>
            <w:r>
              <w:t>$42,000.00</w:t>
            </w:r>
          </w:p>
        </w:tc>
        <w:tc>
          <w:tcPr>
            <w:tcW w:type="dxa" w:w="2340"/>
          </w:tcPr>
          <w:p>
            <w:r>
              <w:t>+$1,200.00</w:t>
            </w:r>
          </w:p>
        </w:tc>
      </w:tr>
      <w:tr>
        <w:tc>
          <w:tcPr>
            <w:tcW w:type="dxa" w:w="2340"/>
          </w:tcPr>
          <w:p>
            <w:r>
              <w:t>Vehicle expense</w:t>
            </w:r>
          </w:p>
        </w:tc>
        <w:tc>
          <w:tcPr>
            <w:tcW w:type="dxa" w:w="2340"/>
          </w:tcPr>
          <w:p>
            <w:r>
              <w:t>$4,100.00</w:t>
            </w:r>
          </w:p>
        </w:tc>
        <w:tc>
          <w:tcPr>
            <w:tcW w:type="dxa" w:w="2340"/>
          </w:tcPr>
          <w:p>
            <w:r>
              <w:t>$4,200.00</w:t>
            </w:r>
          </w:p>
        </w:tc>
        <w:tc>
          <w:tcPr>
            <w:tcW w:type="dxa" w:w="2340"/>
          </w:tcPr>
          <w:p>
            <w:r>
              <w:t>+$100.00</w:t>
            </w:r>
          </w:p>
        </w:tc>
      </w:tr>
      <w:tr>
        <w:tc>
          <w:tcPr>
            <w:tcW w:type="dxa" w:w="2340"/>
          </w:tcPr>
          <w:p>
            <w:r>
              <w:t>Insurance</w:t>
            </w:r>
          </w:p>
        </w:tc>
        <w:tc>
          <w:tcPr>
            <w:tcW w:type="dxa" w:w="2340"/>
          </w:tcPr>
          <w:p>
            <w:r>
              <w:t>$3,800.00</w:t>
            </w:r>
          </w:p>
        </w:tc>
        <w:tc>
          <w:tcPr>
            <w:tcW w:type="dxa" w:w="2340"/>
          </w:tcPr>
          <w:p>
            <w:r>
              <w:t>$3,800.00</w:t>
            </w:r>
          </w:p>
        </w:tc>
        <w:tc>
          <w:tcPr>
            <w:tcW w:type="dxa" w:w="2340"/>
          </w:tcPr>
          <w:p>
            <w:r>
              <w:t>$0.00</w:t>
            </w:r>
          </w:p>
        </w:tc>
      </w:tr>
      <w:tr>
        <w:tc>
          <w:tcPr>
            <w:tcW w:type="dxa" w:w="2340"/>
          </w:tcPr>
          <w:p>
            <w:r>
              <w:t>Marketing</w:t>
            </w:r>
          </w:p>
        </w:tc>
        <w:tc>
          <w:tcPr>
            <w:tcW w:type="dxa" w:w="2340"/>
          </w:tcPr>
          <w:p>
            <w:r>
              <w:t>$1,400.00</w:t>
            </w:r>
          </w:p>
        </w:tc>
        <w:tc>
          <w:tcPr>
            <w:tcW w:type="dxa" w:w="2340"/>
          </w:tcPr>
          <w:p>
            <w:r>
              <w:t>$1,200.00</w:t>
            </w:r>
          </w:p>
        </w:tc>
        <w:tc>
          <w:tcPr>
            <w:tcW w:type="dxa" w:w="2340"/>
          </w:tcPr>
          <w:p>
            <w:r>
              <w:t>minus $200.00</w:t>
            </w:r>
          </w:p>
        </w:tc>
      </w:tr>
      <w:tr>
        <w:tc>
          <w:tcPr>
            <w:tcW w:type="dxa" w:w="2340"/>
          </w:tcPr>
          <w:p>
            <w:r>
              <w:t>Office expense</w:t>
            </w:r>
          </w:p>
        </w:tc>
        <w:tc>
          <w:tcPr>
            <w:tcW w:type="dxa" w:w="2340"/>
          </w:tcPr>
          <w:p>
            <w:r>
              <w:t>$1,400.00</w:t>
            </w:r>
          </w:p>
        </w:tc>
        <w:tc>
          <w:tcPr>
            <w:tcW w:type="dxa" w:w="2340"/>
          </w:tcPr>
          <w:p>
            <w:r>
              <w:t>$1,400.00</w:t>
            </w:r>
          </w:p>
        </w:tc>
        <w:tc>
          <w:tcPr>
            <w:tcW w:type="dxa" w:w="2340"/>
          </w:tcPr>
          <w:p>
            <w:r>
              <w:t>$0.00</w:t>
            </w:r>
          </w:p>
        </w:tc>
      </w:tr>
      <w:tr>
        <w:tc>
          <w:tcPr>
            <w:tcW w:type="dxa" w:w="2340"/>
          </w:tcPr>
          <w:p>
            <w:r>
              <w:t>Miscellaneous</w:t>
            </w:r>
          </w:p>
        </w:tc>
        <w:tc>
          <w:tcPr>
            <w:tcW w:type="dxa" w:w="2340"/>
          </w:tcPr>
          <w:p>
            <w:r>
              <w:t>$6,540.00</w:t>
            </w:r>
          </w:p>
        </w:tc>
        <w:tc>
          <w:tcPr>
            <w:tcW w:type="dxa" w:w="2340"/>
          </w:tcPr>
          <w:p>
            <w:r>
              <w:t>$6,300.00</w:t>
            </w:r>
          </w:p>
        </w:tc>
        <w:tc>
          <w:tcPr>
            <w:tcW w:type="dxa" w:w="2340"/>
          </w:tcPr>
          <w:p>
            <w:r>
              <w:t>minus $240.00</w:t>
            </w:r>
          </w:p>
        </w:tc>
      </w:tr>
      <w:tr>
        <w:tc>
          <w:tcPr>
            <w:tcW w:type="dxa" w:w="2340"/>
          </w:tcPr>
          <w:p>
            <w:r>
              <w:t>Operating expense</w:t>
            </w:r>
          </w:p>
        </w:tc>
        <w:tc>
          <w:tcPr>
            <w:tcW w:type="dxa" w:w="2340"/>
          </w:tcPr>
          <w:p>
            <w:r>
              <w:t>$58,040.00</w:t>
            </w:r>
          </w:p>
        </w:tc>
        <w:tc>
          <w:tcPr>
            <w:tcW w:type="dxa" w:w="2340"/>
          </w:tcPr>
          <w:p>
            <w:r>
              <w:t>$58,900.00</w:t>
            </w:r>
          </w:p>
        </w:tc>
        <w:tc>
          <w:tcPr>
            <w:tcW w:type="dxa" w:w="2340"/>
          </w:tcPr>
          <w:p>
            <w:r>
              <w:t>+$860.00</w:t>
            </w:r>
          </w:p>
        </w:tc>
      </w:tr>
      <w:tr>
        <w:tc>
          <w:tcPr>
            <w:tcW w:type="dxa" w:w="2340"/>
          </w:tcPr>
          <w:p>
            <w:r>
              <w:t>Net operating profit</w:t>
            </w:r>
          </w:p>
        </w:tc>
        <w:tc>
          <w:tcPr>
            <w:tcW w:type="dxa" w:w="2340"/>
          </w:tcPr>
          <w:p>
            <w:r>
              <w:t>$17,200.00</w:t>
            </w:r>
          </w:p>
        </w:tc>
        <w:tc>
          <w:tcPr>
            <w:tcW w:type="dxa" w:w="2340"/>
          </w:tcPr>
          <w:p>
            <w:r>
              <w:t>$19,480.00</w:t>
            </w:r>
          </w:p>
        </w:tc>
        <w:tc>
          <w:tcPr>
            <w:tcW w:type="dxa" w:w="2340"/>
          </w:tcPr>
          <w:p>
            <w:r>
              <w:t>+$2,280.00</w:t>
            </w:r>
          </w:p>
        </w:tc>
      </w:tr>
      <w:tr>
        <w:tc>
          <w:tcPr>
            <w:tcW w:type="dxa" w:w="2340"/>
          </w:tcPr>
          <w:p>
            <w:r>
              <w:t>Operating reserve at quarter end</w:t>
            </w:r>
          </w:p>
        </w:tc>
        <w:tc>
          <w:tcPr>
            <w:tcW w:type="dxa" w:w="2340"/>
          </w:tcPr>
          <w:p>
            <w:r>
              <w:t>$26,140.00</w:t>
            </w:r>
          </w:p>
        </w:tc>
        <w:tc>
          <w:tcPr>
            <w:tcW w:type="dxa" w:w="2340"/>
          </w:tcPr>
          <w:p>
            <w:r>
              <w:t>$24,180.42</w:t>
            </w:r>
          </w:p>
        </w:tc>
        <w:tc>
          <w:tcPr>
            <w:tcW w:type="dxa" w:w="2340"/>
          </w:tcPr>
          <w:p>
            <w:r>
              <w:t>minus $1,959.58</w:t>
            </w:r>
          </w:p>
        </w:tc>
      </w:tr>
    </w:tbl>
    <w:p>
      <w:r>
        <w:t>Reviewer note. The reserve at quarter end figure for Q3 reflects the Plaid live balance on acc_pk_reserve_001 after the late September Sterling Norris materials float was drawn. The partner policy target of 28,000.00 still stands and the November and December auto transfers are expected to restore the balance.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Porter &amp; Koval Plumbing LLC  |  Q3 2026 PnL narrative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