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Furnace Replacement Cost Analysis</w:t>
      </w:r>
    </w:p>
    <w:p>
      <w:r>
        <w:rPr>
          <w:b/>
        </w:rPr>
        <w:t xml:space="preserve">Prepared for: </w:t>
      </w:r>
      <w:r>
        <w:t>Carlos Whitfield</w:t>
      </w:r>
    </w:p>
    <w:p>
      <w:r>
        <w:rPr>
          <w:b/>
        </w:rPr>
        <w:t xml:space="preserve">Property: </w:t>
      </w:r>
      <w:r>
        <w:t>2734 Birchwood Lane, Beaverton, OR 97005</w:t>
      </w:r>
    </w:p>
    <w:p>
      <w:r>
        <w:rPr>
          <w:b/>
        </w:rPr>
        <w:t xml:space="preserve">Current unit: </w:t>
      </w:r>
      <w:r>
        <w:t>15+ years old, showing signs of wear (intermittent noise, reduced efficiency)</w:t>
      </w:r>
    </w:p>
    <w:p>
      <w:r>
        <w:rPr>
          <w:b/>
        </w:rPr>
        <w:t xml:space="preserve">Date: </w:t>
      </w:r>
      <w:r>
        <w:t>September 28, 2026</w:t>
      </w:r>
    </w:p>
    <w:p>
      <w:pPr>
        <w:pStyle w:val="Heading1"/>
      </w:pPr>
      <w:r>
        <w:t>Cost Range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Estimated Cost</w:t>
            </w:r>
          </w:p>
        </w:tc>
        <w:tc>
          <w:tcPr>
            <w:tcW w:type="dxa" w:w="2880"/>
          </w:tcPr>
          <w:p>
            <w:r>
              <w:t>What It Covers</w:t>
            </w:r>
          </w:p>
        </w:tc>
      </w:tr>
      <w:tr>
        <w:tc>
          <w:tcPr>
            <w:tcW w:type="dxa" w:w="2880"/>
          </w:tcPr>
          <w:p>
            <w:r>
              <w:t>Low (Basic Replacement)</w:t>
            </w:r>
          </w:p>
        </w:tc>
        <w:tc>
          <w:tcPr>
            <w:tcW w:type="dxa" w:w="2880"/>
          </w:tcPr>
          <w:p>
            <w:r>
              <w:t>,500</w:t>
            </w:r>
          </w:p>
        </w:tc>
        <w:tc>
          <w:tcPr>
            <w:tcW w:type="dxa" w:w="2880"/>
          </w:tcPr>
          <w:p>
            <w:r>
              <w:t>Standard efficiency gas furnace (80% AFUE), basic install, same ductwork</w:t>
            </w:r>
          </w:p>
        </w:tc>
      </w:tr>
      <w:tr>
        <w:tc>
          <w:tcPr>
            <w:tcW w:type="dxa" w:w="2880"/>
          </w:tcPr>
          <w:p>
            <w:r>
              <w:t>Mid (High Efficiency)</w:t>
            </w:r>
          </w:p>
        </w:tc>
        <w:tc>
          <w:tcPr>
            <w:tcW w:type="dxa" w:w="2880"/>
          </w:tcPr>
          <w:p>
            <w:r>
              <w:t>,500</w:t>
            </w:r>
          </w:p>
        </w:tc>
        <w:tc>
          <w:tcPr>
            <w:tcW w:type="dxa" w:w="2880"/>
          </w:tcPr>
          <w:p>
            <w:r>
              <w:t>95%+ AFUE unit, improved venting, 10-year warranty</w:t>
            </w:r>
          </w:p>
        </w:tc>
      </w:tr>
      <w:tr>
        <w:tc>
          <w:tcPr>
            <w:tcW w:type="dxa" w:w="2880"/>
          </w:tcPr>
          <w:p>
            <w:r>
              <w:t>High (Premium + Extras)</w:t>
            </w:r>
          </w:p>
        </w:tc>
        <w:tc>
          <w:tcPr>
            <w:tcW w:type="dxa" w:w="2880"/>
          </w:tcPr>
          <w:p>
            <w:r>
              <w:t>,500</w:t>
            </w:r>
          </w:p>
        </w:tc>
        <w:tc>
          <w:tcPr>
            <w:tcW w:type="dxa" w:w="2880"/>
          </w:tcPr>
          <w:p>
            <w:r>
              <w:t>Top-tier unit, ductwork modifications, smart thermostat, extended warranty</w:t>
            </w:r>
          </w:p>
        </w:tc>
      </w:tr>
    </w:tbl>
    <w:p>
      <w:pPr>
        <w:pStyle w:val="Heading1"/>
      </w:pPr>
      <w:r>
        <w:t>Can Savings Absorb It?</w:t>
      </w:r>
    </w:p>
    <w:p>
      <w:r>
        <w:t>Current savings balance: ,142.75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Savings After</w:t>
            </w:r>
          </w:p>
        </w:tc>
        <w:tc>
          <w:tcPr>
            <w:tcW w:type="dxa" w:w="2160"/>
          </w:tcPr>
          <w:p>
            <w:r>
              <w:t>Recovery Time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,500</w:t>
            </w:r>
          </w:p>
        </w:tc>
        <w:tc>
          <w:tcPr>
            <w:tcW w:type="dxa" w:w="2160"/>
          </w:tcPr>
          <w:p>
            <w:r>
              <w:t>,642.75</w:t>
            </w:r>
          </w:p>
        </w:tc>
        <w:tc>
          <w:tcPr>
            <w:tcW w:type="dxa" w:w="2160"/>
          </w:tcPr>
          <w:p>
            <w:r>
              <w:t>~3 months</w:t>
            </w:r>
          </w:p>
        </w:tc>
      </w:tr>
      <w:tr>
        <w:tc>
          <w:tcPr>
            <w:tcW w:type="dxa" w:w="2160"/>
          </w:tcPr>
          <w:p>
            <w:r>
              <w:t>Mid</w:t>
            </w:r>
          </w:p>
        </w:tc>
        <w:tc>
          <w:tcPr>
            <w:tcW w:type="dxa" w:w="2160"/>
          </w:tcPr>
          <w:p>
            <w:r>
              <w:t>,500</w:t>
            </w:r>
          </w:p>
        </w:tc>
        <w:tc>
          <w:tcPr>
            <w:tcW w:type="dxa" w:w="2160"/>
          </w:tcPr>
          <w:p>
            <w:r>
              <w:t>,642.75</w:t>
            </w:r>
          </w:p>
        </w:tc>
        <w:tc>
          <w:tcPr>
            <w:tcW w:type="dxa" w:w="2160"/>
          </w:tcPr>
          <w:p>
            <w:r>
              <w:t>~4.3 months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,500</w:t>
            </w:r>
          </w:p>
        </w:tc>
        <w:tc>
          <w:tcPr>
            <w:tcW w:type="dxa" w:w="2160"/>
          </w:tcPr>
          <w:p>
            <w:r>
              <w:t>,642.75</w:t>
            </w:r>
          </w:p>
        </w:tc>
        <w:tc>
          <w:tcPr>
            <w:tcW w:type="dxa" w:w="2160"/>
          </w:tcPr>
          <w:p>
            <w:r>
              <w:t>~5.7 months</w:t>
            </w:r>
          </w:p>
        </w:tc>
      </w:tr>
    </w:tbl>
    <w:p>
      <w:r>
        <w:t>Recovery time based on average monthly surplus of ~,494.</w:t>
      </w:r>
    </w:p>
    <w:p>
      <w:pPr>
        <w:pStyle w:val="Heading1"/>
      </w:pPr>
      <w:r>
        <w:t>Rebate Potential</w:t>
      </w:r>
    </w:p>
    <w:p>
      <w:r>
        <w:t>Oregon Energy Trust rebates: - for qualifying high-efficiency units (95%+ AFUE).</w:t>
      </w:r>
    </w:p>
    <w:p>
      <w:r>
        <w:t>Federal 25C tax credit: up to  for qualifying equipment, plus  for home energy audit.</w:t>
      </w:r>
    </w:p>
    <w:p>
      <w:r>
        <w:t>NW Natural gas company rebate:  for 95%+ AFUE replacement.</w:t>
      </w:r>
    </w:p>
    <w:p>
      <w:r>
        <w:t>Total rebate potential: ,400-,800, reducing effective cost to ,700-,100.</w:t>
      </w:r>
    </w:p>
    <w:p>
      <w:pPr>
        <w:pStyle w:val="Heading1"/>
      </w:pPr>
      <w:r>
        <w:t>Recommendation</w:t>
      </w:r>
    </w:p>
    <w:p>
      <w:r>
        <w:t>Carlos can afford any scenario without borrowing. The mid-range option (,500) offers the best value: lower utility bills, qualifying rebates, and a 10-year warranty. Even the high-end option leaves savings above ,000 with full recovery in under 6 months.</w:t>
      </w:r>
    </w:p>
    <w:p>
      <w:r>
        <w:t>Get 2-3 quotes from licensed Beaverton HVAC contractors before winter. If the furnace fails during cold weather, an emergency replacement typically adds -,000 to the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