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  <w:spacing w:before="240" w:after="120"/>
      </w:pPr>
      <w:r>
        <w:rPr>
          <w:b/>
          <w:sz w:val="36"/>
        </w:rPr>
        <w:t xml:space="preserve">Reed Security Notes Continuity Brief for Monica Stevens</w:t>
      </w:r>
    </w:p>
    <w:p>
      <w:pPr>
        <w:spacing w:after="80"/>
      </w:pPr>
      <w:r>
        <w:rPr>
          <w:sz w:val="22"/>
        </w:rPr>
        <w:t xml:space="preserve">Status: draft, awaiting Carlos Reed approval. Draft-only. No live send.</w:t>
      </w:r>
    </w:p>
    <w:p>
      <w:pPr>
        <w:spacing w:after="80"/>
      </w:pPr>
      <w:r>
        <w:rPr>
          <w:sz w:val="22"/>
        </w:rPr>
        <w:t xml:space="preserve">Prepared: January 30, 2027. Author: OpenClaw on behalf of Carlos Reed.</w:t>
      </w:r>
    </w:p>
    <w:p>
      <w:pPr>
        <w:spacing w:after="80"/>
      </w:pPr>
      <w:r>
        <w:rPr>
          <w:sz w:val="22"/>
        </w:rPr>
        <w:t xml:space="preserve">Recipient: Monica Stevens, guest editor Q1 2027.</w:t>
      </w:r>
    </w:p>
    <w:p>
      <w:pPr>
        <w:pStyle w:val="Heading2"/>
        <w:spacing w:before="200" w:after="80"/>
      </w:pPr>
      <w:r>
        <w:rPr>
          <w:b/>
          <w:sz w:val="28"/>
        </w:rPr>
        <w:t xml:space="preserve">Coverage Window</w:t>
      </w:r>
    </w:p>
    <w:p>
      <w:pPr>
        <w:spacing w:after="80"/>
      </w:pPr>
      <w:r>
        <w:rPr>
          <w:sz w:val="22"/>
        </w:rPr>
        <w:t xml:space="preserve">Blog paused February 8, 2027 through June 1, 2027 for paternity leave. Handoff package lands January 30, 2027 so Monica has a full seven-day read before Carlos stops taking pings. Final pre-leave post publishes December 31, 2026 (Q4 2026 Splunk dashboards).</w:t>
      </w:r>
    </w:p>
    <w:p>
      <w:pPr>
        <w:pStyle w:val="Heading2"/>
        <w:spacing w:before="200" w:after="80"/>
      </w:pPr>
      <w:r>
        <w:rPr>
          <w:b/>
          <w:sz w:val="28"/>
        </w:rPr>
        <w:t xml:space="preserve">Editorial Calendar, Q1 2027</w:t>
      </w:r>
    </w:p>
    <w:p>
      <w:pPr>
        <w:spacing w:after="80"/>
      </w:pPr>
      <w:r>
        <w:rPr>
          <w:sz w:val="22"/>
        </w:rPr>
        <w:t xml:space="preserve">Reed Security Notes cadence: Sundays, quarterly for full posts. During the paternity window one guest post is scheduled.</w:t>
      </w:r>
    </w:p>
    <w:p>
      <w:pPr>
        <w:ind w:left="360" w:hanging="200"/>
      </w:pPr>
      <w:r>
        <w:rPr>
          <w:sz w:val="22"/>
        </w:rPr>
        <w:t xml:space="preserve">- March 15, 2027 (publish target): guest post authored by Monica Stevens.</w:t>
      </w:r>
    </w:p>
    <w:p>
      <w:pPr>
        <w:ind w:left="360" w:hanging="200"/>
      </w:pPr>
      <w:r>
        <w:rPr>
          <w:sz w:val="22"/>
        </w:rPr>
        <w:t xml:space="preserve">- Topic pinned: Detection Engineering Metrics That Actually Matter.</w:t>
      </w:r>
    </w:p>
    <w:p>
      <w:pPr>
        <w:ind w:left="360" w:hanging="200"/>
      </w:pPr>
      <w:r>
        <w:rPr>
          <w:sz w:val="22"/>
        </w:rPr>
        <w:t xml:space="preserve">- Draft due to Carlos-cleared editorial slot: March 1, 2027 (for review by Carlos on return timeline; if Carlos cannot review, Jason Wu escalation lane below).</w:t>
      </w:r>
    </w:p>
    <w:p>
      <w:pPr>
        <w:ind w:left="360" w:hanging="200"/>
      </w:pPr>
      <w:r>
        <w:rPr>
          <w:sz w:val="22"/>
        </w:rPr>
        <w:t xml:space="preserve">- Newsletter send window: March 16, 2027 through March 20, 2027, draft-staged, no auto-send.</w:t>
      </w:r>
    </w:p>
    <w:p>
      <w:pPr>
        <w:ind w:left="360" w:hanging="200"/>
      </w:pPr>
      <w:r>
        <w:rPr>
          <w:sz w:val="22"/>
        </w:rPr>
        <w:t xml:space="preserve">- Blog post 2 (soft slot, not committed): May 3, 2027 only if Monica has bandwidth. Not required.</w:t>
      </w:r>
    </w:p>
    <w:p>
      <w:pPr>
        <w:pStyle w:val="Heading2"/>
        <w:spacing w:before="200" w:after="80"/>
      </w:pPr>
      <w:r>
        <w:rPr>
          <w:b/>
          <w:sz w:val="28"/>
        </w:rPr>
        <w:t xml:space="preserve">Guest Post Framing and Tone</w:t>
      </w:r>
    </w:p>
    <w:p>
      <w:pPr>
        <w:spacing w:after="80"/>
      </w:pPr>
      <w:r>
        <w:rPr>
          <w:sz w:val="22"/>
        </w:rPr>
        <w:t xml:space="preserve">House style is dry, security-analyst register. Threat-model framing preferred over vendor pitch. Assume the reader ships detections and wants to make them measurable.</w:t>
      </w:r>
    </w:p>
    <w:p>
      <w:pPr>
        <w:spacing w:before="120" w:after="60"/>
      </w:pPr>
      <w:r>
        <w:rPr>
          <w:b/>
          <w:sz w:val="22"/>
        </w:rPr>
        <w:t xml:space="preserve">Non-negotiables:</w:t>
      </w:r>
    </w:p>
    <w:p>
      <w:pPr>
        <w:ind w:left="360" w:hanging="200"/>
      </w:pPr>
      <w:r>
        <w:rPr>
          <w:sz w:val="22"/>
        </w:rPr>
        <w:t xml:space="preserve">- No em dashes anywhere.</w:t>
      </w:r>
    </w:p>
    <w:p>
      <w:pPr>
        <w:ind w:left="360" w:hanging="200"/>
      </w:pPr>
      <w:r>
        <w:rPr>
          <w:sz w:val="22"/>
        </w:rPr>
        <w:t xml:space="preserve">- No filler openings and no sycophancy toward the reader.</w:t>
      </w:r>
    </w:p>
    <w:p>
      <w:pPr>
        <w:ind w:left="360" w:hanging="200"/>
      </w:pPr>
      <w:r>
        <w:rPr>
          <w:sz w:val="22"/>
        </w:rPr>
        <w:t xml:space="preserve">- MITRE ATT&amp;CK mapping required for every detection example.</w:t>
      </w:r>
    </w:p>
    <w:p>
      <w:pPr>
        <w:ind w:left="360" w:hanging="200"/>
      </w:pPr>
      <w:r>
        <w:rPr>
          <w:sz w:val="22"/>
        </w:rPr>
        <w:t xml:space="preserve">- Link every supporting claim to primary evidence (rule source, telemetry field, tool doc).</w:t>
      </w:r>
    </w:p>
    <w:p>
      <w:pPr>
        <w:ind w:left="360" w:hanging="200"/>
      </w:pPr>
      <w:r>
        <w:rPr>
          <w:sz w:val="22"/>
        </w:rPr>
        <w:t xml:space="preserve">- Do not use vendor pitch language. Do not endorse sponsors by name in body copy.</w:t>
      </w:r>
    </w:p>
    <w:p>
      <w:pPr>
        <w:ind w:left="360" w:hanging="200"/>
      </w:pPr>
      <w:r>
        <w:rPr>
          <w:sz w:val="22"/>
        </w:rPr>
        <w:t xml:space="preserve">- Code blocks fenced, language tag set, small snippets preferred over long dumps.</w:t>
      </w:r>
    </w:p>
    <w:p>
      <w:pPr>
        <w:ind w:left="360" w:hanging="200"/>
      </w:pPr>
      <w:r>
        <w:rPr>
          <w:sz w:val="22"/>
        </w:rPr>
        <w:t xml:space="preserve">- Word count 1600 to 2200. One header image (Figma), zero stock photography.</w:t>
      </w:r>
    </w:p>
    <w:p>
      <w:pPr>
        <w:pStyle w:val="Heading2"/>
        <w:spacing w:before="200" w:after="80"/>
      </w:pPr>
      <w:r>
        <w:rPr>
          <w:b/>
          <w:sz w:val="28"/>
        </w:rPr>
        <w:t xml:space="preserve">Escalation Tree</w:t>
      </w:r>
    </w:p>
    <w:p>
      <w:pPr>
        <w:spacing w:after="80"/>
      </w:pPr>
      <w:r>
        <w:rPr>
          <w:sz w:val="22"/>
        </w:rPr>
        <w:t xml:space="preserve">Three lanes. Pick the narrowest.</w:t>
      </w:r>
    </w:p>
    <w:p>
      <w:pPr>
        <w:spacing w:before="120" w:after="60"/>
      </w:pPr>
      <w:r>
        <w:rPr>
          <w:b/>
          <w:sz w:val="22"/>
        </w:rPr>
        <w:t xml:space="preserve">Lane 1: loop-Carlos-in (reader legal issue, sponsor complaint, certification body inquiry).</w:t>
      </w:r>
    </w:p>
    <w:p>
      <w:pPr>
        <w:ind w:left="360" w:hanging="200"/>
      </w:pPr>
      <w:r>
        <w:rPr>
          <w:sz w:val="22"/>
        </w:rPr>
        <w:t xml:space="preserve">- Reader raises a legal, defamation, or takedown concern in a comment, ticket, or email.</w:t>
      </w:r>
    </w:p>
    <w:p>
      <w:pPr>
        <w:ind w:left="360" w:hanging="200"/>
      </w:pPr>
      <w:r>
        <w:rPr>
          <w:sz w:val="22"/>
        </w:rPr>
        <w:t xml:space="preserve">- A sponsor complains about editorial coverage or asks for a retraction.</w:t>
      </w:r>
    </w:p>
    <w:p>
      <w:pPr>
        <w:ind w:left="360" w:hanging="200"/>
      </w:pPr>
      <w:r>
        <w:rPr>
          <w:sz w:val="22"/>
        </w:rPr>
        <w:t xml:space="preserve">- (ISC)2 or Offensive Security contacts the blog about CPE credit language.</w:t>
      </w:r>
    </w:p>
    <w:p>
      <w:pPr>
        <w:ind w:left="360" w:hanging="200"/>
      </w:pPr>
      <w:r>
        <w:rPr>
          <w:sz w:val="22"/>
        </w:rPr>
        <w:t xml:space="preserve">- Route: leave a Notion note in Reed Security Notes / Continuity / Carlos-Loop and text Carlos only if it cannot wait until June 1, 2027.</w:t>
      </w:r>
    </w:p>
    <w:p>
      <w:pPr>
        <w:spacing w:before="120" w:after="60"/>
      </w:pPr>
      <w:r>
        <w:rPr>
          <w:b/>
          <w:sz w:val="22"/>
        </w:rPr>
        <w:t xml:space="preserve">Lane 2: route-to-Jason-Wu (Torchwood-adjacent).</w:t>
      </w:r>
    </w:p>
    <w:p>
      <w:pPr>
        <w:ind w:left="360" w:hanging="200"/>
      </w:pPr>
      <w:r>
        <w:rPr>
          <w:sz w:val="22"/>
        </w:rPr>
        <w:t xml:space="preserve">- A reader or press outlet ties Reed Security Notes commentary to Torchwood Labs work.</w:t>
      </w:r>
    </w:p>
    <w:p>
      <w:pPr>
        <w:ind w:left="360" w:hanging="200"/>
      </w:pPr>
      <w:r>
        <w:rPr>
          <w:sz w:val="22"/>
        </w:rPr>
        <w:t xml:space="preserve">- A CFP invite (conference talk, panel) arrives tagged to Torchwood employer identity.</w:t>
      </w:r>
    </w:p>
    <w:p>
      <w:pPr>
        <w:ind w:left="360" w:hanging="200"/>
      </w:pPr>
      <w:r>
        <w:rPr>
          <w:sz w:val="22"/>
        </w:rPr>
        <w:t xml:space="preserve">- Any journalist or researcher asks about Threat Intelligence team work at Torchwood.</w:t>
      </w:r>
    </w:p>
    <w:p>
      <w:pPr>
        <w:ind w:left="360" w:hanging="200"/>
      </w:pPr>
      <w:r>
        <w:rPr>
          <w:sz w:val="22"/>
        </w:rPr>
        <w:t xml:space="preserve">- Route: forward to Jason Wu, supervisor. Do not answer as Reed Security Notes.</w:t>
      </w:r>
    </w:p>
    <w:p>
      <w:pPr>
        <w:spacing w:before="120" w:after="60"/>
      </w:pPr>
      <w:r>
        <w:rPr>
          <w:b/>
          <w:sz w:val="22"/>
        </w:rPr>
        <w:t xml:space="preserve">Lane 3: handle-solo (Monica decision).</w:t>
      </w:r>
    </w:p>
    <w:p>
      <w:pPr>
        <w:ind w:left="360" w:hanging="200"/>
      </w:pPr>
      <w:r>
        <w:rPr>
          <w:sz w:val="22"/>
        </w:rPr>
        <w:t xml:space="preserve">- General reader questions on published posts.</w:t>
      </w:r>
    </w:p>
    <w:p>
      <w:pPr>
        <w:ind w:left="360" w:hanging="200"/>
      </w:pPr>
      <w:r>
        <w:rPr>
          <w:sz w:val="22"/>
        </w:rPr>
        <w:t xml:space="preserve">- Small copy edits or typo fixes on the guest post.</w:t>
      </w:r>
    </w:p>
    <w:p>
      <w:pPr>
        <w:ind w:left="360" w:hanging="200"/>
      </w:pPr>
      <w:r>
        <w:rPr>
          <w:sz w:val="22"/>
        </w:rPr>
        <w:t xml:space="preserve">- Comment moderation on obvious spam or off-topic threads.</w:t>
      </w:r>
    </w:p>
    <w:p>
      <w:pPr>
        <w:ind w:left="360" w:hanging="200"/>
      </w:pPr>
      <w:r>
        <w:rPr>
          <w:sz w:val="22"/>
        </w:rPr>
        <w:t xml:space="preserve">- Requests for the free detection-rule templates or SIEM dashboard exports (point them at the existing WooCommerce listing).</w:t>
      </w:r>
    </w:p>
    <w:p>
      <w:pPr>
        <w:pStyle w:val="Heading2"/>
        <w:spacing w:before="200" w:after="80"/>
      </w:pPr>
      <w:r>
        <w:rPr>
          <w:b/>
          <w:sz w:val="28"/>
        </w:rPr>
        <w:t xml:space="preserve">Approval Matrix, Pre-Cleared Answers</w:t>
      </w:r>
    </w:p>
    <w:p>
      <w:pPr>
        <w:spacing w:after="80"/>
      </w:pPr>
      <w:r>
        <w:rPr>
          <w:sz w:val="22"/>
        </w:rPr>
        <w:t xml:space="preserve">The following twenty stall-point answers are pre-approved. Anything outside this list, escalate.</w:t>
      </w:r>
    </w:p>
    <w:p>
      <w:pPr>
        <w:ind w:left="360" w:hanging="200"/>
      </w:pPr>
      <w:r>
        <w:rPr>
          <w:sz w:val="22"/>
        </w:rPr>
        <w:t xml:space="preserve">- 1. Publish date shift under forty-eight hours: OK, Monica decides.</w:t>
      </w:r>
    </w:p>
    <w:p>
      <w:pPr>
        <w:ind w:left="360" w:hanging="200"/>
      </w:pPr>
      <w:r>
        <w:rPr>
          <w:sz w:val="22"/>
        </w:rPr>
        <w:t xml:space="preserve">- 2. Publish date shift over forty-eight hours: escalate to Carlos-loop.</w:t>
      </w:r>
    </w:p>
    <w:p>
      <w:pPr>
        <w:ind w:left="360" w:hanging="200"/>
      </w:pPr>
      <w:r>
        <w:rPr>
          <w:sz w:val="22"/>
        </w:rPr>
        <w:t xml:space="preserve">- 3. Typo fix on published post: OK, Monica edits directly in WordPress.</w:t>
      </w:r>
    </w:p>
    <w:p>
      <w:pPr>
        <w:ind w:left="360" w:hanging="200"/>
      </w:pPr>
      <w:r>
        <w:rPr>
          <w:sz w:val="22"/>
        </w:rPr>
        <w:t xml:space="preserve">- 4. Full retraction request from third party: escalate to Carlos-loop.</w:t>
      </w:r>
    </w:p>
    <w:p>
      <w:pPr>
        <w:ind w:left="360" w:hanging="200"/>
      </w:pPr>
      <w:r>
        <w:rPr>
          <w:sz w:val="22"/>
        </w:rPr>
        <w:t xml:space="preserve">- 5. Reader asks for source code of a detection: point to the existing GitHub repo, do not paste new code.</w:t>
      </w:r>
    </w:p>
    <w:p>
      <w:pPr>
        <w:ind w:left="360" w:hanging="200"/>
      </w:pPr>
      <w:r>
        <w:rPr>
          <w:sz w:val="22"/>
        </w:rPr>
        <w:t xml:space="preserve">- 6. Reader asks about Torchwood-related detection experience: escalate to Jason Wu lane.</w:t>
      </w:r>
    </w:p>
    <w:p>
      <w:pPr>
        <w:ind w:left="360" w:hanging="200"/>
      </w:pPr>
      <w:r>
        <w:rPr>
          <w:sz w:val="22"/>
        </w:rPr>
        <w:t xml:space="preserve">- 7. Sponsor asks for rate quote: never quote a rate. Reply, we will follow up on renewals after June 1, 2027.</w:t>
      </w:r>
    </w:p>
    <w:p>
      <w:pPr>
        <w:ind w:left="360" w:hanging="200"/>
      </w:pPr>
      <w:r>
        <w:rPr>
          <w:sz w:val="22"/>
        </w:rPr>
        <w:t xml:space="preserve">- 8. Sponsor asks about editorial coverage: politely decline vendor pitch language. No coverage horse-trading.</w:t>
      </w:r>
    </w:p>
    <w:p>
      <w:pPr>
        <w:ind w:left="360" w:hanging="200"/>
      </w:pPr>
      <w:r>
        <w:rPr>
          <w:sz w:val="22"/>
        </w:rPr>
        <w:t xml:space="preserve">- 9. Reader asks to be removed from newsletter: forward to Carlos-loop Notion note, do not touch send lists.</w:t>
      </w:r>
    </w:p>
    <w:p>
      <w:pPr>
        <w:ind w:left="360" w:hanging="200"/>
      </w:pPr>
      <w:r>
        <w:rPr>
          <w:sz w:val="22"/>
        </w:rPr>
        <w:t xml:space="preserve">- 10. Reader asks to be added to newsletter: point them at the WordPress opt-in form, do not add manually.</w:t>
      </w:r>
    </w:p>
    <w:p>
      <w:pPr>
        <w:ind w:left="360" w:hanging="200"/>
      </w:pPr>
      <w:r>
        <w:rPr>
          <w:sz w:val="22"/>
        </w:rPr>
        <w:t xml:space="preserve">- 11. Podcast invite for Monica-as-guest-editor: OK if she wants to accept, disclose guest-editor status.</w:t>
      </w:r>
    </w:p>
    <w:p>
      <w:pPr>
        <w:ind w:left="360" w:hanging="200"/>
      </w:pPr>
      <w:r>
        <w:rPr>
          <w:sz w:val="22"/>
        </w:rPr>
        <w:t xml:space="preserve">- 12. Podcast invite tagged to Carlos or Reed Security Notes: escalate to Carlos-loop.</w:t>
      </w:r>
    </w:p>
    <w:p>
      <w:pPr>
        <w:ind w:left="360" w:hanging="200"/>
      </w:pPr>
      <w:r>
        <w:rPr>
          <w:sz w:val="22"/>
        </w:rPr>
        <w:t xml:space="preserve">- 13. Press inquiry general: escalate to Carlos-loop.</w:t>
      </w:r>
    </w:p>
    <w:p>
      <w:pPr>
        <w:ind w:left="360" w:hanging="200"/>
      </w:pPr>
      <w:r>
        <w:rPr>
          <w:sz w:val="22"/>
        </w:rPr>
        <w:t xml:space="preserve">- 14. Press inquiry Torchwood-adjacent: escalate to Jason Wu lane.</w:t>
      </w:r>
    </w:p>
    <w:p>
      <w:pPr>
        <w:ind w:left="360" w:hanging="200"/>
      </w:pPr>
      <w:r>
        <w:rPr>
          <w:sz w:val="22"/>
        </w:rPr>
        <w:t xml:space="preserve">- 15. Speaking invite for a conference in the window: escalate to Carlos-loop.</w:t>
      </w:r>
    </w:p>
    <w:p>
      <w:pPr>
        <w:ind w:left="360" w:hanging="200"/>
      </w:pPr>
      <w:r>
        <w:rPr>
          <w:sz w:val="22"/>
        </w:rPr>
        <w:t xml:space="preserve">- 16. Reader reports broken link or download: Monica fixes in WordPress or WooCommerce backend.</w:t>
      </w:r>
    </w:p>
    <w:p>
      <w:pPr>
        <w:ind w:left="360" w:hanging="200"/>
      </w:pPr>
      <w:r>
        <w:rPr>
          <w:sz w:val="22"/>
        </w:rPr>
        <w:t xml:space="preserve">- 17. Reader reports payment failed on template download: forward to Stripe support link in Zendesk macro, Monica sends canned reply.</w:t>
      </w:r>
    </w:p>
    <w:p>
      <w:pPr>
        <w:ind w:left="360" w:hanging="200"/>
      </w:pPr>
      <w:r>
        <w:rPr>
          <w:sz w:val="22"/>
        </w:rPr>
        <w:t xml:space="preserve">- 18. Comment spam: Monica moderates directly.</w:t>
      </w:r>
    </w:p>
    <w:p>
      <w:pPr>
        <w:ind w:left="360" w:hanging="200"/>
      </w:pPr>
      <w:r>
        <w:rPr>
          <w:sz w:val="22"/>
        </w:rPr>
        <w:t xml:space="preserve">- 19. Personal attack in comments: Monica removes and bans, no reply.</w:t>
      </w:r>
    </w:p>
    <w:p>
      <w:pPr>
        <w:ind w:left="360" w:hanging="200"/>
      </w:pPr>
      <w:r>
        <w:rPr>
          <w:sz w:val="22"/>
        </w:rPr>
        <w:t xml:space="preserve">- 20. Anything that touches Emma Reed health or family finance: hard stop, escalate to Carlos-loop immediately, do not respond.</w:t>
      </w:r>
    </w:p>
    <w:p>
      <w:pPr>
        <w:pStyle w:val="Heading2"/>
        <w:spacing w:before="200" w:after="80"/>
      </w:pPr>
      <w:r>
        <w:rPr>
          <w:b/>
          <w:sz w:val="28"/>
        </w:rPr>
        <w:t xml:space="preserve">Sponsor Context, Redacted</w:t>
      </w:r>
    </w:p>
    <w:p>
      <w:pPr>
        <w:spacing w:after="80"/>
      </w:pPr>
      <w:r>
        <w:rPr>
          <w:sz w:val="22"/>
        </w:rPr>
        <w:t xml:space="preserve">Sponsor names only. No revenue figures. No rates. No PII beyond editor need.</w:t>
      </w:r>
    </w:p>
    <w:p>
      <w:pPr>
        <w:spacing w:before="120" w:after="60"/>
      </w:pPr>
      <w:r>
        <w:rPr>
          <w:b/>
          <w:sz w:val="22"/>
        </w:rPr>
        <w:t xml:space="preserve">Active roster:</w:t>
      </w:r>
    </w:p>
    <w:p>
      <w:pPr>
        <w:ind w:left="360" w:hanging="200"/>
      </w:pPr>
      <w:r>
        <w:rPr>
          <w:sz w:val="22"/>
        </w:rPr>
        <w:t xml:space="preserve">- Elastic, Sumo Logic, Detectify, Rapid7, Tenable, CrowdStrike, Splunk, Sysdig, Cybereason, Chronicle, Wiz.</w:t>
      </w:r>
    </w:p>
    <w:p>
      <w:pPr>
        <w:spacing w:before="120" w:after="60"/>
      </w:pPr>
      <w:r>
        <w:rPr>
          <w:b/>
          <w:sz w:val="22"/>
        </w:rPr>
        <w:t xml:space="preserve">Hold, pending reconciliation:</w:t>
      </w:r>
    </w:p>
    <w:p>
      <w:pPr>
        <w:ind w:left="360" w:hanging="200"/>
      </w:pPr>
      <w:r>
        <w:rPr>
          <w:sz w:val="22"/>
        </w:rPr>
        <w:t xml:space="preserve">- Corelight, Vectra AI. Do not name in editorial copy during hold.</w:t>
      </w:r>
    </w:p>
    <w:p>
      <w:pPr>
        <w:spacing w:before="120" w:after="60"/>
      </w:pPr>
      <w:r>
        <w:rPr>
          <w:b/>
          <w:sz w:val="22"/>
        </w:rPr>
        <w:t xml:space="preserve">Do-not-contact, exclusion list:</w:t>
      </w:r>
    </w:p>
    <w:p>
      <w:pPr>
        <w:ind w:left="360" w:hanging="200"/>
      </w:pPr>
      <w:r>
        <w:rPr>
          <w:sz w:val="22"/>
        </w:rPr>
        <w:t xml:space="preserve">- Snyk (paused, October 2026). Do not mention in outreach or draft renewal.</w:t>
      </w:r>
    </w:p>
    <w:p>
      <w:pPr>
        <w:ind w:left="360" w:hanging="200"/>
      </w:pPr>
      <w:r>
        <w:rPr>
          <w:sz w:val="22"/>
        </w:rPr>
        <w:t xml:space="preserve">- Recorded Future (opted-out, September 2026). Do not mention in outreach or draft renewal.</w:t>
      </w:r>
    </w:p>
    <w:p>
      <w:pPr>
        <w:spacing w:after="80"/>
      </w:pPr>
      <w:r>
        <w:rPr>
          <w:sz w:val="22"/>
        </w:rPr>
        <w:t xml:space="preserve">Monica does not receive sponsor revenue detail, closed-won amounts, or renewal rate proposals. Sponsor pipeline audit remains scoped to Carlos and OpenClaw. See sponsor_book_2027.pdf, not shared with Monica.</w:t>
      </w:r>
    </w:p>
    <w:p>
      <w:pPr>
        <w:pStyle w:val="Heading2"/>
        <w:spacing w:before="200" w:after="80"/>
      </w:pPr>
      <w:r>
        <w:rPr>
          <w:b/>
          <w:sz w:val="28"/>
        </w:rPr>
        <w:t xml:space="preserve">Reader Support Handoff</w:t>
      </w:r>
    </w:p>
    <w:p>
      <w:pPr>
        <w:spacing w:after="80"/>
      </w:pPr>
      <w:r>
        <w:rPr>
          <w:sz w:val="22"/>
        </w:rPr>
        <w:t xml:space="preserve">Fourteen open reader-support tickets across the three helpdesk surfaces at handoff:</w:t>
      </w:r>
    </w:p>
    <w:p>
      <w:pPr>
        <w:ind w:left="360" w:hanging="200"/>
      </w:pPr>
      <w:r>
        <w:rPr>
          <w:sz w:val="22"/>
        </w:rPr>
        <w:t xml:space="preserve">- Twelve tickets on SIEM dashboard export downloads (Splunk XML, Elastic saved-object JSON). Standard reply: verify checkout email, resend receipt, link to WooCommerce download endpoint.</w:t>
      </w:r>
    </w:p>
    <w:p>
      <w:pPr>
        <w:ind w:left="360" w:hanging="200"/>
      </w:pPr>
      <w:r>
        <w:rPr>
          <w:sz w:val="22"/>
        </w:rPr>
        <w:t xml:space="preserve">- Two tickets on detection-rule templates (Sigma pack). Standard reply: point to GitHub mirror plus WooCommerce receipt link.</w:t>
      </w:r>
    </w:p>
    <w:p>
      <w:pPr>
        <w:spacing w:after="80"/>
      </w:pPr>
      <w:r>
        <w:rPr>
          <w:sz w:val="22"/>
        </w:rPr>
        <w:t xml:space="preserve">Do not merge helpdesks. Do not migrate tickets between platforms. Answer where the ticket lives. Close on reader confirmation, forty-eight hour follow-up if no reply.</w:t>
      </w:r>
    </w:p>
    <w:p>
      <w:pPr>
        <w:pStyle w:val="Heading2"/>
        <w:spacing w:before="200" w:after="80"/>
      </w:pPr>
      <w:r>
        <w:rPr>
          <w:b/>
          <w:sz w:val="28"/>
        </w:rPr>
        <w:t xml:space="preserve">Do-Not-Touch List</w:t>
      </w:r>
    </w:p>
    <w:p>
      <w:pPr>
        <w:ind w:left="360" w:hanging="200"/>
      </w:pPr>
      <w:r>
        <w:rPr>
          <w:sz w:val="22"/>
        </w:rPr>
        <w:t xml:space="preserve">- Emma Reed health data. Nothing about the pregnancy, glucose log, birth plan, or delivery goes near the blog or newsletter.</w:t>
      </w:r>
    </w:p>
    <w:p>
      <w:pPr>
        <w:ind w:left="360" w:hanging="200"/>
      </w:pPr>
      <w:r>
        <w:rPr>
          <w:sz w:val="22"/>
        </w:rPr>
        <w:t xml:space="preserve">- Reed household mortgage paperwork, house-fund balance, and Wells Fargo pre-approval details. Never referenced.</w:t>
      </w:r>
    </w:p>
    <w:p>
      <w:pPr>
        <w:ind w:left="360" w:hanging="200"/>
      </w:pPr>
      <w:r>
        <w:rPr>
          <w:sz w:val="22"/>
        </w:rPr>
        <w:t xml:space="preserve">- Private reader threads and DM archives. Editorial does not read private reader mail beyond the ticket surface.</w:t>
      </w:r>
    </w:p>
    <w:p>
      <w:pPr>
        <w:ind w:left="360" w:hanging="200"/>
      </w:pPr>
      <w:r>
        <w:rPr>
          <w:sz w:val="22"/>
        </w:rPr>
        <w:t xml:space="preserve">- Live send buttons on Mailchimp, WordPress publish, HubSpot outbound, and all draft-only sponsor renewal drafts. No auto-send under any condition.</w:t>
      </w:r>
    </w:p>
    <w:p>
      <w:pPr>
        <w:ind w:left="360" w:hanging="200"/>
      </w:pPr>
      <w:r>
        <w:rPr>
          <w:sz w:val="22"/>
        </w:rPr>
        <w:t xml:space="preserve">- Torchwood Labs internal systems (Jira, Confluence, PagerDuty, Slack for work). Not connected, do not attempt access.</w:t>
      </w:r>
    </w:p>
    <w:p>
      <w:pPr>
        <w:pStyle w:val="Heading2"/>
        <w:spacing w:before="200" w:after="80"/>
      </w:pPr>
      <w:r>
        <w:rPr>
          <w:b/>
          <w:sz w:val="28"/>
        </w:rPr>
        <w:t xml:space="preserve">Contact Points</w:t>
      </w:r>
    </w:p>
    <w:p>
      <w:pPr>
        <w:ind w:left="360" w:hanging="200"/>
      </w:pPr>
      <w:r>
        <w:rPr>
          <w:sz w:val="22"/>
        </w:rPr>
        <w:t xml:space="preserve">- Carlos Reed: reachable only for lane 1 escalations before June 1, 2027. Prefer Notion note over text.</w:t>
      </w:r>
    </w:p>
    <w:p>
      <w:pPr>
        <w:ind w:left="360" w:hanging="200"/>
      </w:pPr>
      <w:r>
        <w:rPr>
          <w:sz w:val="22"/>
        </w:rPr>
        <w:t xml:space="preserve">- Jason Wu: Torchwood supervisor, lane 2 escalations only.</w:t>
      </w:r>
    </w:p>
    <w:p>
      <w:pPr>
        <w:ind w:left="360" w:hanging="200"/>
      </w:pPr>
      <w:r>
        <w:rPr>
          <w:sz w:val="22"/>
        </w:rPr>
        <w:t xml:space="preserve">- OpenClaw: standing assistant, act-then-report bargain. Handles scheduled staging, reconciliation refresh, and continuity checks. Draft-only across the perimeter.</w:t>
      </w:r>
    </w:p>
    <w:p>
      <w:pPr>
        <w:pStyle w:val="Heading2"/>
        <w:spacing w:before="200" w:after="80"/>
      </w:pPr>
      <w:r>
        <w:rPr>
          <w:b/>
          <w:sz w:val="28"/>
        </w:rPr>
        <w:t xml:space="preserve">Sign-off</w:t>
      </w:r>
    </w:p>
    <w:p>
      <w:pPr>
        <w:spacing w:after="80"/>
      </w:pPr>
      <w:r>
        <w:rPr>
          <w:sz w:val="22"/>
        </w:rPr>
        <w:t xml:space="preserve">This brief is draft. Carlos Reed approves before it goes to Monica Stevens.</w:t>
      </w:r>
    </w:p>
    <w:sectPr>
      <w:pgSz w:w="12240" w:h="15840"/>
      <w:pgMar w:top="1080" w:right="1080" w:bottom="1080" w:left="108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